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CF58BA" w:rsidRPr="00CF58BA" w:rsidP="00CF58BA" w14:paraId="5E8C94AB" w14:textId="77777777">
      <w:pPr>
        <w:spacing w:after="0"/>
        <w:jc w:val="center"/>
        <w:rPr>
          <w:rFonts w:eastAsia="Times New Roman"/>
          <w:b/>
          <w:szCs w:val="22"/>
        </w:rPr>
      </w:pPr>
      <w:bookmarkStart w:id="0" w:name="_Hlk107409871"/>
      <w:r w:rsidRPr="00CF58BA">
        <w:rPr>
          <w:rFonts w:eastAsia="Times New Roman"/>
          <w:b/>
          <w:szCs w:val="22"/>
        </w:rPr>
        <w:t>IN THE COURT OF COMMON PLEAS</w:t>
      </w:r>
    </w:p>
    <w:p w:rsidR="00CF58BA" w:rsidRPr="00CF58BA" w:rsidP="00CF58BA" w14:paraId="52305929" w14:textId="77777777">
      <w:pPr>
        <w:spacing w:after="0"/>
        <w:jc w:val="center"/>
        <w:rPr>
          <w:rFonts w:eastAsia="Times New Roman"/>
          <w:b/>
          <w:szCs w:val="22"/>
        </w:rPr>
      </w:pPr>
      <w:r w:rsidRPr="00CF58BA">
        <w:rPr>
          <w:rFonts w:eastAsia="Times New Roman"/>
          <w:b/>
          <w:szCs w:val="22"/>
        </w:rPr>
        <w:t>HAMILTON COUNTY, OHIO</w:t>
      </w:r>
    </w:p>
    <w:p w:rsidR="00CF58BA" w:rsidRPr="00CF58BA" w:rsidP="00CF58BA" w14:paraId="23D94919" w14:textId="77777777">
      <w:pPr>
        <w:spacing w:after="0"/>
        <w:jc w:val="left"/>
        <w:rPr>
          <w:rFonts w:eastAsia="Times New Roman"/>
          <w:b/>
          <w:szCs w:val="22"/>
        </w:rPr>
      </w:pPr>
    </w:p>
    <w:tbl>
      <w:tblPr>
        <w:tblW w:w="9591" w:type="dxa"/>
        <w:tblLayout w:type="fixed"/>
        <w:tblLook w:val="00A0"/>
      </w:tblPr>
      <w:tblGrid>
        <w:gridCol w:w="4698"/>
        <w:gridCol w:w="360"/>
        <w:gridCol w:w="4533"/>
      </w:tblGrid>
      <w:tr w14:paraId="1E4CFEC0" w14:textId="77777777" w:rsidTr="003A44D7">
        <w:tblPrEx>
          <w:tblW w:w="9591" w:type="dxa"/>
          <w:tblLayout w:type="fixed"/>
          <w:tblLook w:val="00A0"/>
        </w:tblPrEx>
        <w:tc>
          <w:tcPr>
            <w:tcW w:w="4698" w:type="dxa"/>
          </w:tcPr>
          <w:p w:rsidR="00B723D2" w:rsidRPr="00B723D2" w:rsidP="00CF58BA" w14:paraId="20AC3965" w14:textId="23384EEB">
            <w:pPr>
              <w:spacing w:after="0"/>
              <w:jc w:val="left"/>
              <w:rPr>
                <w:rFonts w:eastAsia="Calibri"/>
                <w:b/>
                <w:i/>
                <w:iCs/>
              </w:rPr>
            </w:pPr>
            <w:r>
              <w:rPr>
                <w:rFonts w:eastAsia="Calibri"/>
                <w:b/>
              </w:rPr>
              <w:t xml:space="preserve">STATE OF OHIO, </w:t>
            </w:r>
            <w:r>
              <w:rPr>
                <w:rFonts w:eastAsia="Calibri"/>
                <w:b/>
                <w:i/>
                <w:iCs/>
              </w:rPr>
              <w:t>ex rel.</w:t>
            </w:r>
          </w:p>
          <w:p w:rsidR="00CF58BA" w:rsidRPr="00CF58BA" w:rsidP="00CF58BA" w14:paraId="61D5F755" w14:textId="0C75DD01">
            <w:pPr>
              <w:spacing w:after="0"/>
              <w:jc w:val="left"/>
              <w:rPr>
                <w:rFonts w:eastAsia="Calibri"/>
                <w:b/>
              </w:rPr>
            </w:pPr>
            <w:r w:rsidRPr="00CF58BA">
              <w:rPr>
                <w:rFonts w:eastAsia="Calibri"/>
                <w:b/>
              </w:rPr>
              <w:t>D</w:t>
            </w:r>
            <w:r w:rsidR="00B723D2">
              <w:rPr>
                <w:rFonts w:eastAsia="Calibri"/>
                <w:b/>
              </w:rPr>
              <w:t>. ANDREW WILSON</w:t>
            </w:r>
            <w:r w:rsidRPr="00CF58BA">
              <w:rPr>
                <w:rFonts w:eastAsia="Calibri"/>
                <w:b/>
              </w:rPr>
              <w:t>,</w:t>
            </w:r>
          </w:p>
          <w:p w:rsidR="00CF58BA" w:rsidRPr="00CF58BA" w:rsidP="00CF58BA" w14:paraId="687E5B02" w14:textId="77777777">
            <w:pPr>
              <w:spacing w:after="0"/>
              <w:jc w:val="left"/>
              <w:rPr>
                <w:rFonts w:eastAsia="Calibri"/>
                <w:b/>
              </w:rPr>
            </w:pPr>
            <w:r w:rsidRPr="00CF58BA">
              <w:rPr>
                <w:rFonts w:eastAsia="Calibri"/>
                <w:b/>
              </w:rPr>
              <w:t>OHIO ATTORNEY GENERAL,</w:t>
            </w:r>
          </w:p>
          <w:p w:rsidR="00CF58BA" w:rsidRPr="00CF58BA" w:rsidP="00CF58BA" w14:paraId="5276417A" w14:textId="77777777">
            <w:pPr>
              <w:spacing w:after="0"/>
              <w:jc w:val="left"/>
              <w:rPr>
                <w:rFonts w:eastAsia="Calibri"/>
                <w:b/>
              </w:rPr>
            </w:pPr>
          </w:p>
          <w:p w:rsidR="00CF58BA" w:rsidRPr="00CF58BA" w:rsidP="00CF58BA" w14:paraId="1DBAD8CA" w14:textId="77777777">
            <w:pPr>
              <w:spacing w:after="0"/>
              <w:ind w:left="2160"/>
              <w:jc w:val="left"/>
              <w:rPr>
                <w:rFonts w:eastAsia="Calibri"/>
                <w:b/>
              </w:rPr>
            </w:pPr>
            <w:r w:rsidRPr="00CF58BA">
              <w:rPr>
                <w:rFonts w:eastAsia="Calibri"/>
                <w:b/>
              </w:rPr>
              <w:t>Plaintiff,</w:t>
            </w:r>
          </w:p>
          <w:p w:rsidR="00CF58BA" w:rsidRPr="00CF58BA" w:rsidP="00CF58BA" w14:paraId="241B6D57" w14:textId="77777777">
            <w:pPr>
              <w:spacing w:after="0"/>
              <w:ind w:left="2160"/>
              <w:jc w:val="left"/>
              <w:rPr>
                <w:rFonts w:eastAsia="Calibri"/>
                <w:b/>
              </w:rPr>
            </w:pPr>
          </w:p>
          <w:p w:rsidR="00CF58BA" w:rsidRPr="00CF58BA" w:rsidP="00CF58BA" w14:paraId="4B3E5FAC" w14:textId="77777777">
            <w:pPr>
              <w:spacing w:after="0"/>
              <w:jc w:val="left"/>
              <w:rPr>
                <w:rFonts w:eastAsia="Calibri"/>
                <w:b/>
              </w:rPr>
            </w:pPr>
            <w:r w:rsidRPr="00CF58BA">
              <w:rPr>
                <w:rFonts w:eastAsia="Calibri"/>
                <w:b/>
              </w:rPr>
              <w:tab/>
              <w:t>v.</w:t>
            </w:r>
          </w:p>
          <w:p w:rsidR="00CF58BA" w:rsidRPr="00CF58BA" w:rsidP="00CF58BA" w14:paraId="32E924C0" w14:textId="77777777">
            <w:pPr>
              <w:spacing w:after="0"/>
              <w:jc w:val="left"/>
              <w:rPr>
                <w:rFonts w:eastAsia="Calibri"/>
                <w:b/>
              </w:rPr>
            </w:pPr>
          </w:p>
          <w:p w:rsidR="00CF58BA" w:rsidRPr="00CF58BA" w:rsidP="00CF58BA" w14:paraId="3533965E" w14:textId="77777777">
            <w:pPr>
              <w:spacing w:after="0"/>
              <w:jc w:val="left"/>
              <w:rPr>
                <w:rFonts w:eastAsia="Calibri"/>
                <w:b/>
              </w:rPr>
            </w:pPr>
            <w:r w:rsidRPr="00CF58BA">
              <w:rPr>
                <w:rFonts w:eastAsia="Calibri"/>
                <w:b/>
              </w:rPr>
              <w:t>HEBREW UNION COLLEGE-JEWISH</w:t>
            </w:r>
          </w:p>
          <w:p w:rsidR="00CF58BA" w:rsidRPr="00CF58BA" w:rsidP="00CF58BA" w14:paraId="171C6BF8" w14:textId="77777777">
            <w:pPr>
              <w:spacing w:after="0"/>
              <w:jc w:val="left"/>
              <w:rPr>
                <w:rFonts w:eastAsia="Calibri"/>
                <w:b/>
              </w:rPr>
            </w:pPr>
            <w:r w:rsidRPr="00CF58BA">
              <w:rPr>
                <w:rFonts w:eastAsia="Calibri"/>
                <w:b/>
              </w:rPr>
              <w:t>INSTITUTE OF RELIGION,</w:t>
            </w:r>
          </w:p>
          <w:p w:rsidR="00CF58BA" w:rsidRPr="00CF58BA" w:rsidP="00CF58BA" w14:paraId="3866B813" w14:textId="77777777">
            <w:pPr>
              <w:spacing w:after="0"/>
              <w:ind w:left="2160"/>
              <w:jc w:val="left"/>
              <w:rPr>
                <w:rFonts w:eastAsia="Calibri"/>
                <w:b/>
              </w:rPr>
            </w:pPr>
          </w:p>
          <w:p w:rsidR="00CF58BA" w:rsidRPr="00CF58BA" w:rsidP="00CF58BA" w14:paraId="57B08678" w14:textId="77777777">
            <w:pPr>
              <w:spacing w:after="0"/>
              <w:ind w:left="2160"/>
              <w:jc w:val="left"/>
              <w:rPr>
                <w:rFonts w:eastAsia="Calibri"/>
                <w:b/>
              </w:rPr>
            </w:pPr>
            <w:r w:rsidRPr="00CF58BA">
              <w:rPr>
                <w:rFonts w:eastAsia="Calibri"/>
                <w:b/>
              </w:rPr>
              <w:t>Defendant.</w:t>
            </w:r>
          </w:p>
        </w:tc>
        <w:tc>
          <w:tcPr>
            <w:tcW w:w="360" w:type="dxa"/>
          </w:tcPr>
          <w:p w:rsidR="00CF58BA" w:rsidRPr="00CF58BA" w:rsidP="00CF58BA" w14:paraId="2A239412" w14:textId="77777777">
            <w:pPr>
              <w:spacing w:after="0"/>
              <w:jc w:val="center"/>
              <w:rPr>
                <w:rFonts w:eastAsia="Calibri"/>
                <w:b/>
              </w:rPr>
            </w:pPr>
            <w:r w:rsidRPr="00CF58BA">
              <w:rPr>
                <w:rFonts w:eastAsia="Calibri"/>
                <w:b/>
              </w:rPr>
              <w:t>)</w:t>
            </w:r>
          </w:p>
          <w:p w:rsidR="00CF58BA" w:rsidRPr="00CF58BA" w:rsidP="00CF58BA" w14:paraId="31F42E49" w14:textId="77777777">
            <w:pPr>
              <w:spacing w:after="0"/>
              <w:jc w:val="center"/>
              <w:rPr>
                <w:rFonts w:eastAsia="Calibri"/>
                <w:b/>
              </w:rPr>
            </w:pPr>
            <w:r w:rsidRPr="00CF58BA">
              <w:rPr>
                <w:rFonts w:eastAsia="Calibri"/>
                <w:b/>
              </w:rPr>
              <w:t>)</w:t>
            </w:r>
            <w:r w:rsidRPr="00CF58BA">
              <w:rPr>
                <w:rFonts w:eastAsia="Calibri"/>
                <w:b/>
              </w:rPr>
              <w:br/>
              <w:t>)</w:t>
            </w:r>
          </w:p>
          <w:p w:rsidR="00CF58BA" w:rsidRPr="00CF58BA" w:rsidP="00CF58BA" w14:paraId="7FA085C0" w14:textId="77777777">
            <w:pPr>
              <w:spacing w:after="0"/>
              <w:jc w:val="center"/>
              <w:rPr>
                <w:rFonts w:eastAsia="Calibri"/>
                <w:b/>
              </w:rPr>
            </w:pPr>
            <w:r w:rsidRPr="00CF58BA">
              <w:rPr>
                <w:rFonts w:eastAsia="Calibri"/>
                <w:b/>
              </w:rPr>
              <w:t>)</w:t>
            </w:r>
          </w:p>
          <w:p w:rsidR="00CF58BA" w:rsidRPr="00CF58BA" w:rsidP="00CF58BA" w14:paraId="4C3811C8" w14:textId="77777777">
            <w:pPr>
              <w:spacing w:after="0"/>
              <w:jc w:val="center"/>
              <w:rPr>
                <w:rFonts w:eastAsia="Calibri"/>
                <w:b/>
              </w:rPr>
            </w:pPr>
            <w:r w:rsidRPr="00CF58BA">
              <w:rPr>
                <w:rFonts w:eastAsia="Calibri"/>
                <w:b/>
              </w:rPr>
              <w:t>)</w:t>
            </w:r>
          </w:p>
          <w:p w:rsidR="00CF58BA" w:rsidRPr="00CF58BA" w:rsidP="00CF58BA" w14:paraId="1E0F0963" w14:textId="77777777">
            <w:pPr>
              <w:spacing w:after="0"/>
              <w:jc w:val="center"/>
              <w:rPr>
                <w:rFonts w:eastAsia="Calibri"/>
                <w:b/>
              </w:rPr>
            </w:pPr>
            <w:r w:rsidRPr="00CF58BA">
              <w:rPr>
                <w:rFonts w:eastAsia="Calibri"/>
                <w:b/>
              </w:rPr>
              <w:t>)</w:t>
            </w:r>
          </w:p>
          <w:p w:rsidR="00CF58BA" w:rsidRPr="00CF58BA" w:rsidP="00CF58BA" w14:paraId="41E7EBBD" w14:textId="77777777">
            <w:pPr>
              <w:spacing w:after="0"/>
              <w:jc w:val="center"/>
              <w:rPr>
                <w:rFonts w:eastAsia="Calibri"/>
                <w:b/>
              </w:rPr>
            </w:pPr>
            <w:r w:rsidRPr="00CF58BA">
              <w:rPr>
                <w:rFonts w:eastAsia="Calibri"/>
                <w:b/>
              </w:rPr>
              <w:t>)</w:t>
            </w:r>
          </w:p>
          <w:p w:rsidR="00CF58BA" w:rsidRPr="00CF58BA" w:rsidP="00CF58BA" w14:paraId="794B8427" w14:textId="77777777">
            <w:pPr>
              <w:spacing w:after="0"/>
              <w:jc w:val="center"/>
              <w:rPr>
                <w:rFonts w:eastAsia="Calibri"/>
                <w:b/>
              </w:rPr>
            </w:pPr>
            <w:r w:rsidRPr="00CF58BA">
              <w:rPr>
                <w:rFonts w:eastAsia="Calibri"/>
                <w:b/>
              </w:rPr>
              <w:t>)</w:t>
            </w:r>
          </w:p>
          <w:p w:rsidR="00CF58BA" w:rsidRPr="00CF58BA" w:rsidP="00CF58BA" w14:paraId="6119CBD8" w14:textId="77777777">
            <w:pPr>
              <w:spacing w:after="0"/>
              <w:jc w:val="center"/>
              <w:rPr>
                <w:rFonts w:eastAsia="Calibri"/>
                <w:b/>
              </w:rPr>
            </w:pPr>
            <w:r w:rsidRPr="00CF58BA">
              <w:rPr>
                <w:rFonts w:eastAsia="Calibri"/>
                <w:b/>
              </w:rPr>
              <w:t>)</w:t>
            </w:r>
          </w:p>
          <w:p w:rsidR="00CF58BA" w:rsidRPr="00CF58BA" w:rsidP="00CF58BA" w14:paraId="35AE0B17" w14:textId="77777777">
            <w:pPr>
              <w:spacing w:after="0"/>
              <w:jc w:val="center"/>
              <w:rPr>
                <w:rFonts w:eastAsia="Calibri"/>
                <w:b/>
              </w:rPr>
            </w:pPr>
            <w:r w:rsidRPr="00CF58BA">
              <w:rPr>
                <w:rFonts w:eastAsia="Calibri"/>
                <w:b/>
              </w:rPr>
              <w:t>)</w:t>
            </w:r>
          </w:p>
          <w:p w:rsidR="00CF58BA" w:rsidRPr="00CF58BA" w:rsidP="00CF58BA" w14:paraId="70EC413A" w14:textId="77777777">
            <w:pPr>
              <w:spacing w:after="0"/>
              <w:jc w:val="center"/>
              <w:rPr>
                <w:rFonts w:eastAsia="Calibri"/>
                <w:b/>
              </w:rPr>
            </w:pPr>
            <w:r w:rsidRPr="00CF58BA">
              <w:rPr>
                <w:rFonts w:eastAsia="Calibri"/>
                <w:b/>
              </w:rPr>
              <w:t>)</w:t>
            </w:r>
          </w:p>
          <w:p w:rsidR="00CF58BA" w:rsidRPr="00CF58BA" w:rsidP="00CF58BA" w14:paraId="328F400A" w14:textId="77777777">
            <w:pPr>
              <w:spacing w:after="0"/>
              <w:jc w:val="center"/>
              <w:rPr>
                <w:rFonts w:eastAsia="Calibri"/>
                <w:b/>
              </w:rPr>
            </w:pPr>
            <w:r w:rsidRPr="00CF58BA">
              <w:rPr>
                <w:rFonts w:eastAsia="Calibri"/>
                <w:b/>
              </w:rPr>
              <w:t>)</w:t>
            </w:r>
          </w:p>
          <w:p w:rsidR="00CF58BA" w:rsidRPr="00CF58BA" w:rsidP="00CF58BA" w14:paraId="3C987DC0" w14:textId="77777777">
            <w:pPr>
              <w:spacing w:after="0"/>
              <w:jc w:val="left"/>
              <w:rPr>
                <w:rFonts w:eastAsia="Calibri"/>
                <w:b/>
              </w:rPr>
            </w:pPr>
          </w:p>
        </w:tc>
        <w:tc>
          <w:tcPr>
            <w:tcW w:w="4533" w:type="dxa"/>
          </w:tcPr>
          <w:p w:rsidR="00CF58BA" w:rsidRPr="00CF58BA" w:rsidP="00CF58BA" w14:paraId="411CF87B" w14:textId="77777777">
            <w:pPr>
              <w:spacing w:after="0"/>
              <w:jc w:val="left"/>
              <w:rPr>
                <w:rFonts w:eastAsia="Calibri"/>
                <w:b/>
              </w:rPr>
            </w:pPr>
          </w:p>
          <w:p w:rsidR="00CF58BA" w:rsidRPr="00CF58BA" w:rsidP="00CF58BA" w14:paraId="0F755656" w14:textId="77777777">
            <w:pPr>
              <w:spacing w:after="0"/>
              <w:jc w:val="left"/>
              <w:rPr>
                <w:rFonts w:eastAsia="Calibri"/>
                <w:b/>
              </w:rPr>
            </w:pPr>
          </w:p>
          <w:p w:rsidR="00CF58BA" w:rsidRPr="00CF58BA" w:rsidP="00CF58BA" w14:paraId="237DD7F1" w14:textId="77777777">
            <w:pPr>
              <w:spacing w:after="0"/>
              <w:jc w:val="left"/>
              <w:rPr>
                <w:rFonts w:eastAsia="Calibri"/>
                <w:b/>
              </w:rPr>
            </w:pPr>
            <w:r w:rsidRPr="00CF58BA">
              <w:rPr>
                <w:rFonts w:eastAsia="Calibri"/>
                <w:b/>
              </w:rPr>
              <w:t>CASE NO.: A 2601978</w:t>
            </w:r>
          </w:p>
          <w:p w:rsidR="00CF58BA" w:rsidRPr="00CF58BA" w:rsidP="00CF58BA" w14:paraId="2DD202F5" w14:textId="77777777">
            <w:pPr>
              <w:spacing w:after="0"/>
              <w:jc w:val="left"/>
              <w:rPr>
                <w:rFonts w:eastAsia="Calibri"/>
                <w:b/>
              </w:rPr>
            </w:pPr>
          </w:p>
          <w:p w:rsidR="00CF58BA" w:rsidRPr="00CF58BA" w:rsidP="00CF58BA" w14:paraId="6CC832A4" w14:textId="77777777">
            <w:pPr>
              <w:spacing w:after="0"/>
              <w:jc w:val="left"/>
              <w:rPr>
                <w:rFonts w:eastAsia="Calibri"/>
                <w:b/>
              </w:rPr>
            </w:pPr>
            <w:r w:rsidRPr="00CF58BA">
              <w:rPr>
                <w:rFonts w:eastAsia="Calibri"/>
                <w:b/>
              </w:rPr>
              <w:t>JUDGE CHRISTOPHER A. WAGNER</w:t>
            </w:r>
          </w:p>
          <w:p w:rsidR="00CF58BA" w:rsidRPr="00CF58BA" w:rsidP="00CF58BA" w14:paraId="574B9BE9" w14:textId="77777777">
            <w:pPr>
              <w:spacing w:after="0"/>
              <w:jc w:val="left"/>
              <w:rPr>
                <w:rFonts w:eastAsia="Calibri"/>
                <w:b/>
              </w:rPr>
            </w:pPr>
          </w:p>
          <w:p w:rsidR="00CF58BA" w:rsidRPr="00CF58BA" w:rsidP="00CF58BA" w14:paraId="17512033" w14:textId="77777777">
            <w:pPr>
              <w:spacing w:after="0"/>
              <w:jc w:val="left"/>
              <w:rPr>
                <w:rFonts w:eastAsia="Calibri"/>
                <w:b/>
              </w:rPr>
            </w:pPr>
          </w:p>
        </w:tc>
      </w:tr>
    </w:tbl>
    <w:p w:rsidR="00CF58BA" w:rsidRPr="00CF58BA" w:rsidP="00CF58BA" w14:paraId="0AD5C466" w14:textId="77777777">
      <w:pPr>
        <w:autoSpaceDE w:val="0"/>
        <w:autoSpaceDN w:val="0"/>
        <w:adjustRightInd w:val="0"/>
        <w:spacing w:after="0"/>
        <w:rPr>
          <w:rFonts w:eastAsia="Calibri"/>
          <w:b/>
          <w:bCs/>
        </w:rPr>
      </w:pPr>
      <w:r w:rsidRPr="00CF58BA">
        <w:rPr>
          <w:rFonts w:eastAsia="Calibri"/>
          <w:b/>
          <w:bCs/>
        </w:rPr>
        <w:tab/>
      </w:r>
      <w:bookmarkEnd w:id="0"/>
    </w:p>
    <w:p w:rsidR="00CF58BA" w:rsidRPr="00CF58BA" w:rsidP="00CF58BA" w14:paraId="58DE0FD5" w14:textId="77777777">
      <w:pPr>
        <w:tabs>
          <w:tab w:val="left" w:pos="1440"/>
        </w:tabs>
        <w:autoSpaceDE w:val="0"/>
        <w:autoSpaceDN w:val="0"/>
        <w:adjustRightInd w:val="0"/>
        <w:spacing w:after="0"/>
        <w:jc w:val="center"/>
        <w:rPr>
          <w:rFonts w:eastAsia="Times New Roman"/>
          <w:b/>
          <w:bCs/>
          <w:szCs w:val="20"/>
        </w:rPr>
      </w:pPr>
      <w:r w:rsidRPr="00CF58BA">
        <w:rPr>
          <w:rFonts w:eastAsia="Times New Roman"/>
          <w:b/>
          <w:bCs/>
          <w:szCs w:val="20"/>
        </w:rPr>
        <w:t xml:space="preserve">DEFENDANT HEBREW UNION COLLEGE – JEWISH INSTITUTE </w:t>
      </w:r>
    </w:p>
    <w:p w:rsidR="00CF58BA" w:rsidRPr="00CF58BA" w:rsidP="00CF58BA" w14:paraId="0A6D9237" w14:textId="77777777">
      <w:pPr>
        <w:tabs>
          <w:tab w:val="left" w:pos="1440"/>
        </w:tabs>
        <w:autoSpaceDE w:val="0"/>
        <w:autoSpaceDN w:val="0"/>
        <w:adjustRightInd w:val="0"/>
        <w:spacing w:after="0"/>
        <w:jc w:val="center"/>
        <w:rPr>
          <w:rFonts w:eastAsia="Times New Roman"/>
          <w:b/>
          <w:bCs/>
          <w:szCs w:val="20"/>
        </w:rPr>
      </w:pPr>
      <w:r w:rsidRPr="00CF58BA">
        <w:rPr>
          <w:rFonts w:eastAsia="Times New Roman"/>
          <w:b/>
          <w:bCs/>
          <w:szCs w:val="20"/>
        </w:rPr>
        <w:t xml:space="preserve">OF RELIGION’S MOTION TO DISMISS PLAINTIFF’S COMPLAINT </w:t>
      </w:r>
    </w:p>
    <w:p w:rsidR="00CF58BA" w:rsidP="00CF58BA" w14:paraId="5EFD29C8" w14:textId="5A124854">
      <w:pPr>
        <w:tabs>
          <w:tab w:val="left" w:pos="1440"/>
        </w:tabs>
        <w:autoSpaceDE w:val="0"/>
        <w:autoSpaceDN w:val="0"/>
        <w:adjustRightInd w:val="0"/>
        <w:spacing w:after="0"/>
        <w:jc w:val="center"/>
        <w:rPr>
          <w:rFonts w:eastAsia="Times New Roman"/>
          <w:b/>
          <w:bCs/>
          <w:szCs w:val="20"/>
          <w:u w:val="single"/>
        </w:rPr>
      </w:pPr>
      <w:r>
        <w:rPr>
          <w:rFonts w:eastAsia="Times New Roman"/>
          <w:b/>
          <w:bCs/>
          <w:szCs w:val="20"/>
          <w:u w:val="single"/>
        </w:rPr>
        <w:t>PURSUANT TO OHIO RULES OF CIVIL PROCEDURE 12(B)(1) AND 12(B)(6)</w:t>
      </w:r>
    </w:p>
    <w:p w:rsidR="00977A56" w:rsidP="00CF58BA" w14:paraId="3F722DC6" w14:textId="77777777">
      <w:pPr>
        <w:tabs>
          <w:tab w:val="left" w:pos="1440"/>
        </w:tabs>
        <w:autoSpaceDE w:val="0"/>
        <w:autoSpaceDN w:val="0"/>
        <w:adjustRightInd w:val="0"/>
        <w:spacing w:after="0"/>
        <w:jc w:val="center"/>
        <w:rPr>
          <w:rFonts w:eastAsia="Times New Roman"/>
          <w:b/>
          <w:bCs/>
          <w:szCs w:val="20"/>
          <w:u w:val="single"/>
        </w:rPr>
      </w:pPr>
    </w:p>
    <w:p w:rsidR="00846B62" w:rsidP="00846B62" w14:paraId="27A99A7B" w14:textId="1C78AC3C">
      <w:pPr>
        <w:pStyle w:val="BodyText"/>
      </w:pPr>
      <w:r>
        <w:t xml:space="preserve">Pursuant to Ohio </w:t>
      </w:r>
      <w:r w:rsidR="00EA7017">
        <w:t>Rules of Civil Procedure</w:t>
      </w:r>
      <w:r>
        <w:t xml:space="preserve"> 12(B)(1)&amp;(6), Defendant Hebrew Union College-Jewish Institute of Religion (“HUC”) respectfully moves the Court for an order dismissing </w:t>
      </w:r>
      <w:r>
        <w:t xml:space="preserve">Ohio Attorney General Dave Yost’s </w:t>
      </w:r>
      <w:r w:rsidR="00B81EC1">
        <w:t>(</w:t>
      </w:r>
      <w:r w:rsidR="00B22AEC">
        <w:t xml:space="preserve">“Attorney General” or </w:t>
      </w:r>
      <w:r w:rsidR="00B81EC1">
        <w:t xml:space="preserve">“AG”) </w:t>
      </w:r>
      <w:r>
        <w:t>Complaint for Injunctive Relief and/or Damages</w:t>
      </w:r>
      <w:r w:rsidR="00C72E6E">
        <w:t xml:space="preserve"> (“Complaint”</w:t>
      </w:r>
      <w:r w:rsidR="00E27781">
        <w:t xml:space="preserve"> or “Compl.”</w:t>
      </w:r>
      <w:r w:rsidR="00C72E6E">
        <w:t>)</w:t>
      </w:r>
      <w:r>
        <w:t xml:space="preserve">. As </w:t>
      </w:r>
      <w:r w:rsidR="00D07A79">
        <w:t>set fo</w:t>
      </w:r>
      <w:r w:rsidR="0063412A">
        <w:t>r</w:t>
      </w:r>
      <w:r w:rsidR="00D07A79">
        <w:t xml:space="preserve">th in the </w:t>
      </w:r>
      <w:r>
        <w:t xml:space="preserve">attached Memorandum in Support, </w:t>
      </w:r>
      <w:r w:rsidR="00B81EC1">
        <w:t xml:space="preserve">the </w:t>
      </w:r>
      <w:r>
        <w:t>AG seeks to take</w:t>
      </w:r>
      <w:r w:rsidR="00B81EC1">
        <w:t xml:space="preserve"> control</w:t>
      </w:r>
      <w:r>
        <w:t xml:space="preserve"> over </w:t>
      </w:r>
      <w:r>
        <w:t>HUC’s</w:t>
      </w:r>
      <w:r>
        <w:t xml:space="preserve"> </w:t>
      </w:r>
      <w:r>
        <w:t>rabbinic</w:t>
      </w:r>
      <w:r w:rsidR="00853B40">
        <w:t>al</w:t>
      </w:r>
      <w:r>
        <w:t>-</w:t>
      </w:r>
      <w:r w:rsidR="004E4455">
        <w:t xml:space="preserve">education </w:t>
      </w:r>
      <w:r>
        <w:t xml:space="preserve">program </w:t>
      </w:r>
      <w:r>
        <w:t xml:space="preserve">and </w:t>
      </w:r>
      <w:r w:rsidR="00D07A79">
        <w:t>its</w:t>
      </w:r>
      <w:r>
        <w:t xml:space="preserve"> </w:t>
      </w:r>
      <w:r w:rsidR="00952BD6">
        <w:t xml:space="preserve">Ohio-centered </w:t>
      </w:r>
      <w:r>
        <w:t xml:space="preserve">assets to redistribute </w:t>
      </w:r>
      <w:r w:rsidR="004E4455">
        <w:t>in his sole discretion</w:t>
      </w:r>
      <w:r>
        <w:t xml:space="preserve">. </w:t>
      </w:r>
      <w:r w:rsidR="00294BD2">
        <w:t>T</w:t>
      </w:r>
      <w:r>
        <w:t xml:space="preserve">he </w:t>
      </w:r>
      <w:r w:rsidR="00294BD2">
        <w:t xml:space="preserve">Ecclesiastical Abstention Doctrine and the </w:t>
      </w:r>
      <w:r>
        <w:t xml:space="preserve">U.S. and Ohio Constitutions forbid such </w:t>
      </w:r>
      <w:r w:rsidR="003F2A3A">
        <w:t xml:space="preserve">governmental </w:t>
      </w:r>
      <w:r w:rsidR="008F289B">
        <w:t>intrusion</w:t>
      </w:r>
      <w:r>
        <w:t>s</w:t>
      </w:r>
      <w:r w:rsidR="003F2A3A">
        <w:t xml:space="preserve"> into religious </w:t>
      </w:r>
      <w:r w:rsidR="004E4455">
        <w:t>affairs</w:t>
      </w:r>
      <w:r>
        <w:t xml:space="preserve">.   </w:t>
      </w:r>
    </w:p>
    <w:p w:rsidR="00846B62" w:rsidP="00846B62" w14:paraId="42EE898F" w14:textId="468CA029">
      <w:pPr>
        <w:pStyle w:val="BodyText"/>
      </w:pPr>
      <w:r>
        <w:t>C</w:t>
      </w:r>
      <w:r>
        <w:t xml:space="preserve">onstitutional doctrines aside, the Complaint </w:t>
      </w:r>
      <w:r>
        <w:t xml:space="preserve">also </w:t>
      </w:r>
      <w:r>
        <w:t xml:space="preserve">fails on its own terms. </w:t>
      </w:r>
      <w:r w:rsidR="00977A56">
        <w:t xml:space="preserve">The AG’s takeover attempt </w:t>
      </w:r>
      <w:r>
        <w:t xml:space="preserve">rests upon </w:t>
      </w:r>
      <w:r w:rsidR="00977A56">
        <w:t xml:space="preserve">a single sentence of a </w:t>
      </w:r>
      <w:r>
        <w:t xml:space="preserve">since-amended </w:t>
      </w:r>
      <w:r w:rsidR="00AE5123">
        <w:t xml:space="preserve">charter </w:t>
      </w:r>
      <w:r>
        <w:t xml:space="preserve">dating </w:t>
      </w:r>
      <w:r w:rsidR="00EE4E32">
        <w:t xml:space="preserve">back </w:t>
      </w:r>
      <w:r>
        <w:t>to 1950</w:t>
      </w:r>
      <w:r w:rsidR="00EE4E32">
        <w:t xml:space="preserve"> which states</w:t>
      </w:r>
      <w:r>
        <w:t xml:space="preserve"> that HUC</w:t>
      </w:r>
      <w:r w:rsidR="00B535FD">
        <w:t xml:space="preserve"> </w:t>
      </w:r>
      <w:r w:rsidR="009F5E7B">
        <w:t>shall</w:t>
      </w:r>
      <w:r>
        <w:t xml:space="preserve"> “</w:t>
      </w:r>
      <w:r w:rsidR="00977A56">
        <w:t>permanent</w:t>
      </w:r>
      <w:r>
        <w:t>ly maintain</w:t>
      </w:r>
      <w:r w:rsidR="00977A56">
        <w:t xml:space="preserve">” </w:t>
      </w:r>
      <w:r>
        <w:t xml:space="preserve">a </w:t>
      </w:r>
      <w:r w:rsidR="00977A56">
        <w:t>rabbinic</w:t>
      </w:r>
      <w:r w:rsidR="00853B40">
        <w:t>al</w:t>
      </w:r>
      <w:r w:rsidR="00977A56">
        <w:t xml:space="preserve"> school in Cincinnati. </w:t>
      </w:r>
      <w:r w:rsidR="00E47277">
        <w:t>The H</w:t>
      </w:r>
      <w:r>
        <w:t xml:space="preserve">UC </w:t>
      </w:r>
      <w:r w:rsidR="00E47277">
        <w:t>B</w:t>
      </w:r>
      <w:r>
        <w:t xml:space="preserve">oard of </w:t>
      </w:r>
      <w:r w:rsidR="00E47277">
        <w:t>G</w:t>
      </w:r>
      <w:r>
        <w:t xml:space="preserve">overnors </w:t>
      </w:r>
      <w:r w:rsidR="00952BD6">
        <w:t xml:space="preserve">(“Board”) </w:t>
      </w:r>
      <w:r>
        <w:t xml:space="preserve">amended the </w:t>
      </w:r>
      <w:r w:rsidR="00AE5123">
        <w:t xml:space="preserve">organization’s Articles of Incorporation in April 2022 consistent with both Ohio Revised Code § 1702 and </w:t>
      </w:r>
      <w:r w:rsidR="00E47277">
        <w:t xml:space="preserve">the HUC </w:t>
      </w:r>
      <w:r w:rsidR="00AE5123">
        <w:t xml:space="preserve">charter, which expressly </w:t>
      </w:r>
      <w:r w:rsidR="00EE4E32">
        <w:t>permitted amendments</w:t>
      </w:r>
      <w:r w:rsidR="00AE5123">
        <w:t xml:space="preserve">.  </w:t>
      </w:r>
    </w:p>
    <w:p w:rsidR="00CF58BA" w:rsidRPr="00977A56" w:rsidP="00B81EC1" w14:paraId="4419C50D" w14:textId="21EF3C3C">
      <w:pPr>
        <w:pStyle w:val="BodyText"/>
        <w:rPr>
          <w:b/>
          <w:bCs/>
          <w:szCs w:val="20"/>
          <w:u w:val="single"/>
        </w:rPr>
      </w:pPr>
      <w:r>
        <w:t xml:space="preserve">Beyond </w:t>
      </w:r>
      <w:r w:rsidR="00533DDF">
        <w:t>failing to establish any cognizable legal claim</w:t>
      </w:r>
      <w:r>
        <w:t>, t</w:t>
      </w:r>
      <w:r w:rsidR="004E4455">
        <w:t xml:space="preserve">he </w:t>
      </w:r>
      <w:r>
        <w:t xml:space="preserve">AG’s </w:t>
      </w:r>
      <w:r w:rsidR="00120CE3">
        <w:t xml:space="preserve">action </w:t>
      </w:r>
      <w:r>
        <w:t xml:space="preserve">trenches upon </w:t>
      </w:r>
      <w:r w:rsidR="00E47277">
        <w:t xml:space="preserve">foundational Jewish </w:t>
      </w:r>
      <w:r w:rsidR="00977A56">
        <w:t>religious doctrine. Th</w:t>
      </w:r>
      <w:r w:rsidR="004E4455">
        <w:t>e Complaint</w:t>
      </w:r>
      <w:r w:rsidR="00977A56">
        <w:t xml:space="preserve"> is an affront to the </w:t>
      </w:r>
      <w:r>
        <w:t xml:space="preserve">constitutionally recognized separation of church and state, and it </w:t>
      </w:r>
      <w:r w:rsidR="004E4455">
        <w:t>fails to state a claim</w:t>
      </w:r>
      <w:r w:rsidR="00977A56">
        <w:t xml:space="preserve"> </w:t>
      </w:r>
      <w:r w:rsidR="002D28E3">
        <w:t xml:space="preserve">upon which relief </w:t>
      </w:r>
      <w:r w:rsidR="002D6B4B">
        <w:t>can</w:t>
      </w:r>
      <w:r w:rsidR="002D28E3">
        <w:t xml:space="preserve"> be granted</w:t>
      </w:r>
      <w:r>
        <w:t xml:space="preserve">. The Court </w:t>
      </w:r>
      <w:r w:rsidR="00977A56">
        <w:t>should dismiss</w:t>
      </w:r>
      <w:r>
        <w:t xml:space="preserve"> </w:t>
      </w:r>
      <w:r w:rsidR="00294BD2">
        <w:t xml:space="preserve">the Complaint </w:t>
      </w:r>
      <w:r>
        <w:t>it i</w:t>
      </w:r>
      <w:r w:rsidR="00737E01">
        <w:t>ts</w:t>
      </w:r>
      <w:r>
        <w:t xml:space="preserve"> </w:t>
      </w:r>
      <w:r w:rsidR="00294BD2">
        <w:t>entirety</w:t>
      </w:r>
      <w:r w:rsidR="00977A56">
        <w:t>. </w:t>
      </w:r>
    </w:p>
    <w:p w:rsidR="00CF58BA" w:rsidRPr="00CF58BA" w:rsidP="00CF58BA" w14:paraId="2BA94FA0" w14:textId="77777777">
      <w:pPr>
        <w:autoSpaceDE w:val="0"/>
        <w:autoSpaceDN w:val="0"/>
        <w:adjustRightInd w:val="0"/>
        <w:spacing w:after="0" w:line="480" w:lineRule="auto"/>
        <w:ind w:left="4320"/>
        <w:rPr>
          <w:rFonts w:eastAsia="Calibri"/>
        </w:rPr>
      </w:pPr>
      <w:r w:rsidRPr="00CF58BA">
        <w:rPr>
          <w:rFonts w:eastAsia="Calibri"/>
        </w:rPr>
        <w:t>Respectfully submitted,</w:t>
      </w:r>
    </w:p>
    <w:p w:rsidR="00CF58BA" w:rsidRPr="00CF58BA" w:rsidP="00CF58BA" w14:paraId="1960870B" w14:textId="114FC3CA">
      <w:pPr>
        <w:spacing w:after="0"/>
        <w:ind w:firstLine="4320"/>
        <w:jc w:val="left"/>
        <w:rPr>
          <w:rFonts w:eastAsia="Times New Roman"/>
          <w:i/>
          <w:iCs/>
          <w:u w:val="single"/>
        </w:rPr>
      </w:pPr>
      <w:r w:rsidRPr="00CF58BA">
        <w:rPr>
          <w:rFonts w:eastAsia="Times New Roman"/>
          <w:u w:val="single"/>
        </w:rPr>
        <w:t xml:space="preserve">  </w:t>
      </w:r>
      <w:r w:rsidRPr="00CF58BA">
        <w:rPr>
          <w:rFonts w:eastAsia="Times New Roman"/>
          <w:i/>
          <w:iCs/>
          <w:u w:val="single"/>
        </w:rPr>
        <w:t xml:space="preserve">/s/ </w:t>
      </w:r>
      <w:r w:rsidR="00952BD6">
        <w:rPr>
          <w:rFonts w:eastAsia="Times New Roman"/>
          <w:i/>
          <w:iCs/>
          <w:u w:val="single"/>
        </w:rPr>
        <w:t>Robert A. Zimmerman</w:t>
      </w:r>
      <w:r w:rsidRPr="00CF58BA">
        <w:rPr>
          <w:rFonts w:eastAsia="Times New Roman"/>
          <w:i/>
          <w:iCs/>
          <w:u w:val="single"/>
        </w:rPr>
        <w:tab/>
      </w:r>
      <w:r w:rsidRPr="00CF58BA">
        <w:rPr>
          <w:rFonts w:eastAsia="Times New Roman"/>
          <w:i/>
          <w:iCs/>
          <w:u w:val="single"/>
        </w:rPr>
        <w:tab/>
        <w:t xml:space="preserve">               </w:t>
      </w:r>
    </w:p>
    <w:p w:rsidR="00977A56" w:rsidRPr="00CF58BA" w:rsidP="00977A56" w14:paraId="3169C92F" w14:textId="77777777">
      <w:pPr>
        <w:spacing w:after="0"/>
        <w:ind w:left="3600" w:firstLine="720"/>
        <w:jc w:val="left"/>
        <w:rPr>
          <w:rFonts w:eastAsia="PMingLiU"/>
        </w:rPr>
      </w:pPr>
      <w:r w:rsidRPr="00CF58BA">
        <w:rPr>
          <w:rFonts w:eastAsia="PMingLiU"/>
        </w:rPr>
        <w:t>Robert A. Zimmerman (0055478)</w:t>
      </w:r>
    </w:p>
    <w:p w:rsidR="00977A56" w:rsidRPr="00CF58BA" w:rsidP="00977A56" w14:paraId="4257E21F" w14:textId="77777777">
      <w:pPr>
        <w:spacing w:after="0"/>
        <w:ind w:left="3600" w:firstLine="720"/>
        <w:jc w:val="left"/>
        <w:rPr>
          <w:rFonts w:eastAsia="PMingLiU"/>
        </w:rPr>
      </w:pPr>
      <w:r w:rsidRPr="00CF58BA">
        <w:rPr>
          <w:rFonts w:eastAsia="PMingLiU"/>
        </w:rPr>
        <w:t>Michael D. Meuti (0087233)</w:t>
      </w:r>
    </w:p>
    <w:p w:rsidR="00977A56" w:rsidRPr="00CF58BA" w:rsidP="00977A56" w14:paraId="408A9521" w14:textId="77777777">
      <w:pPr>
        <w:keepNext/>
        <w:spacing w:after="0"/>
        <w:ind w:left="4320"/>
        <w:jc w:val="left"/>
        <w:rPr>
          <w:rFonts w:eastAsia="Calibri"/>
        </w:rPr>
      </w:pPr>
      <w:r w:rsidRPr="00CF58BA">
        <w:rPr>
          <w:rFonts w:eastAsia="Calibri"/>
        </w:rPr>
        <w:t>BENESCH, FRIEDLANDER, COPLAN &amp; ARONOFF LLP</w:t>
      </w:r>
    </w:p>
    <w:p w:rsidR="00977A56" w:rsidRPr="00CF58BA" w:rsidP="00977A56" w14:paraId="1F87F2F9" w14:textId="77777777">
      <w:pPr>
        <w:keepNext/>
        <w:spacing w:after="0"/>
        <w:ind w:left="4320"/>
        <w:jc w:val="left"/>
        <w:rPr>
          <w:rFonts w:eastAsia="Calibri"/>
        </w:rPr>
      </w:pPr>
      <w:r w:rsidRPr="00CF58BA">
        <w:rPr>
          <w:rFonts w:eastAsia="Calibri"/>
        </w:rPr>
        <w:t>127 Public Square, Suite 4900</w:t>
      </w:r>
    </w:p>
    <w:p w:rsidR="00977A56" w:rsidRPr="00CF58BA" w:rsidP="00977A56" w14:paraId="3D810815" w14:textId="77777777">
      <w:pPr>
        <w:keepNext/>
        <w:spacing w:after="0"/>
        <w:ind w:left="4320"/>
        <w:jc w:val="left"/>
        <w:rPr>
          <w:rFonts w:eastAsia="Calibri"/>
        </w:rPr>
      </w:pPr>
      <w:r w:rsidRPr="00CF58BA">
        <w:rPr>
          <w:rFonts w:eastAsia="Calibri"/>
        </w:rPr>
        <w:t>Cleveland, Ohio 44114</w:t>
      </w:r>
    </w:p>
    <w:p w:rsidR="00977A56" w:rsidRPr="00CF58BA" w:rsidP="00977A56" w14:paraId="1A1FEE5D" w14:textId="77777777">
      <w:pPr>
        <w:keepNext/>
        <w:spacing w:after="0"/>
        <w:ind w:left="4320"/>
        <w:jc w:val="left"/>
        <w:rPr>
          <w:rFonts w:eastAsia="Calibri"/>
        </w:rPr>
      </w:pPr>
      <w:r w:rsidRPr="00CF58BA">
        <w:rPr>
          <w:rFonts w:eastAsia="Calibri"/>
        </w:rPr>
        <w:t>Telephone: (216) 363-4500</w:t>
      </w:r>
    </w:p>
    <w:p w:rsidR="00977A56" w:rsidRPr="00CF58BA" w:rsidP="00977A56" w14:paraId="56082C5E" w14:textId="77777777">
      <w:pPr>
        <w:keepNext/>
        <w:spacing w:after="0"/>
        <w:ind w:left="4320"/>
        <w:jc w:val="left"/>
        <w:rPr>
          <w:rFonts w:eastAsia="Calibri"/>
        </w:rPr>
      </w:pPr>
      <w:r w:rsidRPr="00CF58BA">
        <w:rPr>
          <w:rFonts w:eastAsia="Calibri"/>
        </w:rPr>
        <w:t>Facsimile: (216) 363-4588</w:t>
      </w:r>
    </w:p>
    <w:p w:rsidR="00977A56" w:rsidRPr="00CF58BA" w:rsidP="00977A56" w14:paraId="129AF009" w14:textId="77777777">
      <w:pPr>
        <w:keepNext/>
        <w:spacing w:after="0"/>
        <w:ind w:left="4320"/>
        <w:jc w:val="left"/>
        <w:rPr>
          <w:rFonts w:eastAsia="Calibri"/>
        </w:rPr>
      </w:pPr>
      <w:r w:rsidRPr="00CF58BA">
        <w:rPr>
          <w:rFonts w:eastAsia="Calibri"/>
        </w:rPr>
        <w:t xml:space="preserve">Email: </w:t>
      </w:r>
      <w:r w:rsidRPr="00CF58BA">
        <w:rPr>
          <w:rFonts w:eastAsia="Calibri"/>
        </w:rPr>
        <w:tab/>
        <w:t>rzimmerman@beneschlaw.com</w:t>
      </w:r>
    </w:p>
    <w:p w:rsidR="00977A56" w:rsidRPr="00CF58BA" w:rsidP="00977A56" w14:paraId="5CF75399" w14:textId="77777777">
      <w:pPr>
        <w:keepNext/>
        <w:spacing w:after="0"/>
        <w:ind w:left="4320"/>
        <w:jc w:val="left"/>
        <w:rPr>
          <w:rFonts w:eastAsia="Calibri"/>
        </w:rPr>
      </w:pPr>
      <w:r w:rsidRPr="00CF58BA">
        <w:rPr>
          <w:rFonts w:eastAsia="Calibri"/>
        </w:rPr>
        <w:tab/>
        <w:t>mmeuti@beneschlaw.com</w:t>
      </w:r>
    </w:p>
    <w:p w:rsidR="00977A56" w:rsidP="00977A56" w14:paraId="7A740BEE" w14:textId="77777777">
      <w:pPr>
        <w:spacing w:after="0"/>
        <w:jc w:val="left"/>
        <w:rPr>
          <w:rFonts w:eastAsia="PMingLiU"/>
        </w:rPr>
      </w:pPr>
    </w:p>
    <w:p w:rsidR="00CF58BA" w:rsidRPr="00CF58BA" w:rsidP="00CF58BA" w14:paraId="27296346" w14:textId="43BB107B">
      <w:pPr>
        <w:spacing w:after="0"/>
        <w:ind w:left="3960" w:firstLine="360"/>
        <w:jc w:val="left"/>
        <w:rPr>
          <w:rFonts w:eastAsia="PMingLiU"/>
        </w:rPr>
      </w:pPr>
      <w:r w:rsidRPr="00CF58BA">
        <w:rPr>
          <w:rFonts w:eastAsia="PMingLiU"/>
        </w:rPr>
        <w:t>Jennifer M. Turk (0073781)</w:t>
      </w:r>
    </w:p>
    <w:p w:rsidR="00CF58BA" w:rsidRPr="00CF58BA" w:rsidP="00CF58BA" w14:paraId="79D249B2" w14:textId="77777777">
      <w:pPr>
        <w:spacing w:after="0"/>
        <w:ind w:left="3600" w:firstLine="720"/>
        <w:jc w:val="left"/>
        <w:rPr>
          <w:rFonts w:eastAsia="PMingLiU"/>
        </w:rPr>
      </w:pPr>
      <w:r w:rsidRPr="00CF58BA">
        <w:rPr>
          <w:rFonts w:eastAsia="PMingLiU"/>
        </w:rPr>
        <w:t>Nicholas P. Lacey (0100042)</w:t>
      </w:r>
    </w:p>
    <w:p w:rsidR="00CF58BA" w:rsidRPr="00CF58BA" w:rsidP="00CF58BA" w14:paraId="136226A1" w14:textId="77777777">
      <w:pPr>
        <w:spacing w:after="0"/>
        <w:ind w:left="3600" w:firstLine="720"/>
        <w:jc w:val="left"/>
      </w:pPr>
      <w:r w:rsidRPr="00CF58BA">
        <w:t>Jessica M. Frank (0106053)</w:t>
      </w:r>
    </w:p>
    <w:p w:rsidR="00CF58BA" w:rsidRPr="00CF58BA" w:rsidP="00CF58BA" w14:paraId="3770B6CC" w14:textId="77777777">
      <w:pPr>
        <w:keepNext/>
        <w:spacing w:after="0"/>
        <w:ind w:left="4320"/>
        <w:jc w:val="left"/>
        <w:rPr>
          <w:rFonts w:eastAsia="Calibri"/>
        </w:rPr>
      </w:pPr>
      <w:r w:rsidRPr="00CF58BA">
        <w:rPr>
          <w:rFonts w:eastAsia="Calibri"/>
        </w:rPr>
        <w:t>BENESCH, FRIEDLANDER, COPLAN &amp; ARONOFF LLP</w:t>
      </w:r>
    </w:p>
    <w:p w:rsidR="00CF58BA" w:rsidRPr="00CF58BA" w:rsidP="00CF58BA" w14:paraId="7A216E72" w14:textId="77777777">
      <w:pPr>
        <w:keepNext/>
        <w:spacing w:after="0"/>
        <w:ind w:left="4320"/>
        <w:jc w:val="left"/>
        <w:rPr>
          <w:rFonts w:eastAsia="Calibri"/>
        </w:rPr>
      </w:pPr>
      <w:r w:rsidRPr="00CF58BA">
        <w:rPr>
          <w:rFonts w:eastAsia="Calibri"/>
        </w:rPr>
        <w:t>41 South High Street, Suite 2600</w:t>
      </w:r>
    </w:p>
    <w:p w:rsidR="00CF58BA" w:rsidRPr="00CF58BA" w:rsidP="00CF58BA" w14:paraId="6F971069" w14:textId="77777777">
      <w:pPr>
        <w:keepNext/>
        <w:spacing w:after="0"/>
        <w:ind w:left="4320"/>
        <w:jc w:val="left"/>
        <w:rPr>
          <w:rFonts w:eastAsia="Calibri"/>
        </w:rPr>
      </w:pPr>
      <w:r w:rsidRPr="00CF58BA">
        <w:rPr>
          <w:rFonts w:eastAsia="Calibri"/>
        </w:rPr>
        <w:t>Columbus, Ohio  43215</w:t>
      </w:r>
    </w:p>
    <w:p w:rsidR="00CF58BA" w:rsidRPr="00CF58BA" w:rsidP="00CF58BA" w14:paraId="115D75DF" w14:textId="77777777">
      <w:pPr>
        <w:keepNext/>
        <w:spacing w:after="0"/>
        <w:ind w:left="4320"/>
        <w:jc w:val="left"/>
        <w:rPr>
          <w:rFonts w:eastAsia="Calibri"/>
        </w:rPr>
      </w:pPr>
      <w:r w:rsidRPr="00CF58BA">
        <w:rPr>
          <w:rFonts w:eastAsia="Calibri"/>
        </w:rPr>
        <w:t>Telephone: (614) 223-9300</w:t>
      </w:r>
    </w:p>
    <w:p w:rsidR="00CF58BA" w:rsidRPr="00CF58BA" w:rsidP="00CF58BA" w14:paraId="497FAAE0" w14:textId="77777777">
      <w:pPr>
        <w:keepNext/>
        <w:spacing w:after="0"/>
        <w:ind w:left="4320"/>
        <w:jc w:val="left"/>
        <w:rPr>
          <w:rFonts w:eastAsia="Calibri"/>
        </w:rPr>
      </w:pPr>
      <w:r w:rsidRPr="00CF58BA">
        <w:rPr>
          <w:rFonts w:eastAsia="Calibri"/>
        </w:rPr>
        <w:t>Facsimile: (614) 223-9330</w:t>
      </w:r>
    </w:p>
    <w:p w:rsidR="00CF58BA" w:rsidRPr="00CF58BA" w:rsidP="00CF58BA" w14:paraId="41CB3C6D" w14:textId="77777777">
      <w:pPr>
        <w:keepNext/>
        <w:spacing w:after="0"/>
        <w:ind w:left="4320"/>
        <w:jc w:val="left"/>
        <w:rPr>
          <w:rFonts w:eastAsia="Calibri"/>
        </w:rPr>
      </w:pPr>
      <w:r w:rsidRPr="00CF58BA">
        <w:rPr>
          <w:rFonts w:eastAsia="Calibri"/>
        </w:rPr>
        <w:t>Email: jturk@beneschlaw.com</w:t>
      </w:r>
    </w:p>
    <w:p w:rsidR="00CF58BA" w:rsidRPr="00CF58BA" w:rsidP="00CF58BA" w14:paraId="2CD9EE67" w14:textId="77777777">
      <w:pPr>
        <w:keepNext/>
        <w:spacing w:after="0"/>
        <w:ind w:left="4320"/>
        <w:jc w:val="left"/>
        <w:rPr>
          <w:rFonts w:eastAsia="Calibri"/>
        </w:rPr>
      </w:pPr>
      <w:r w:rsidRPr="00CF58BA">
        <w:rPr>
          <w:rFonts w:eastAsia="Calibri"/>
        </w:rPr>
        <w:tab/>
        <w:t>nlacey@beneschlaw.com</w:t>
      </w:r>
    </w:p>
    <w:p w:rsidR="00CF58BA" w:rsidRPr="00CF58BA" w:rsidP="00CF58BA" w14:paraId="3F9B9FDD" w14:textId="77777777">
      <w:pPr>
        <w:keepNext/>
        <w:spacing w:after="0"/>
        <w:ind w:left="4320"/>
        <w:jc w:val="left"/>
        <w:rPr>
          <w:rFonts w:eastAsia="Calibri"/>
        </w:rPr>
      </w:pPr>
      <w:r w:rsidRPr="00CF58BA">
        <w:rPr>
          <w:rFonts w:eastAsia="Calibri"/>
        </w:rPr>
        <w:tab/>
        <w:t>jfrank@beneschlaw.com</w:t>
      </w:r>
    </w:p>
    <w:p w:rsidR="00CF58BA" w:rsidRPr="00CF58BA" w:rsidP="00977A56" w14:paraId="3F0FFFEB" w14:textId="174EF59E">
      <w:pPr>
        <w:keepNext/>
        <w:spacing w:after="0"/>
        <w:jc w:val="left"/>
        <w:rPr>
          <w:rFonts w:eastAsia="Calibri"/>
        </w:rPr>
      </w:pPr>
    </w:p>
    <w:p w:rsidR="00CF58BA" w:rsidRPr="00CF58BA" w:rsidP="00CF58BA" w14:paraId="63D9B867" w14:textId="77777777">
      <w:pPr>
        <w:spacing w:after="0"/>
        <w:ind w:left="4320"/>
        <w:rPr>
          <w:rFonts w:eastAsia="Times New Roman"/>
          <w:i/>
          <w:iCs/>
          <w:szCs w:val="20"/>
        </w:rPr>
      </w:pPr>
      <w:r w:rsidRPr="00CF58BA">
        <w:rPr>
          <w:rFonts w:eastAsia="Times New Roman"/>
          <w:i/>
          <w:iCs/>
          <w:szCs w:val="20"/>
        </w:rPr>
        <w:t>Attorneys for Defendant Hebrew Union College – Jewish Institute of Religion</w:t>
      </w:r>
    </w:p>
    <w:p w:rsidR="00CF58BA" w:rsidRPr="00CF58BA" w:rsidP="00CF58BA" w14:paraId="3284460C" w14:textId="77777777">
      <w:pPr>
        <w:spacing w:after="160" w:line="259" w:lineRule="auto"/>
        <w:jc w:val="left"/>
        <w:rPr>
          <w:rFonts w:eastAsia="Calibri"/>
        </w:rPr>
      </w:pPr>
    </w:p>
    <w:p w:rsidR="00CF58BA" w:rsidRPr="00CF58BA" w:rsidP="00CF58BA" w14:paraId="17801327" w14:textId="77777777">
      <w:pPr>
        <w:tabs>
          <w:tab w:val="left" w:pos="-720"/>
          <w:tab w:val="left" w:pos="0"/>
          <w:tab w:val="left" w:pos="1440"/>
        </w:tabs>
        <w:autoSpaceDE w:val="0"/>
        <w:autoSpaceDN w:val="0"/>
        <w:adjustRightInd w:val="0"/>
        <w:spacing w:after="0"/>
        <w:jc w:val="center"/>
        <w:rPr>
          <w:rFonts w:eastAsia="Calibri"/>
          <w:b/>
          <w:bCs/>
          <w:u w:val="single"/>
        </w:rPr>
      </w:pPr>
    </w:p>
    <w:p w:rsidR="00CF58BA" w:rsidP="00CF58BA" w14:paraId="65D67387" w14:textId="4D566944">
      <w:pPr>
        <w:spacing w:after="160" w:line="259" w:lineRule="auto"/>
        <w:jc w:val="left"/>
        <w:rPr>
          <w:rFonts w:eastAsia="Calibri"/>
          <w:b/>
          <w:bCs/>
          <w:u w:val="single"/>
        </w:rPr>
      </w:pPr>
    </w:p>
    <w:p w:rsidR="00F74D35" w:rsidP="00EA7017" w14:paraId="2CFDE4DA" w14:textId="77777777">
      <w:pPr>
        <w:spacing w:after="160" w:line="259" w:lineRule="auto"/>
        <w:jc w:val="center"/>
        <w:rPr>
          <w:rFonts w:eastAsia="Calibri"/>
          <w:b/>
          <w:bCs/>
          <w:u w:val="single"/>
        </w:rPr>
      </w:pPr>
    </w:p>
    <w:p w:rsidR="00F74D35" w:rsidP="00EA7017" w14:paraId="187DF3EF" w14:textId="77777777">
      <w:pPr>
        <w:spacing w:after="160" w:line="259" w:lineRule="auto"/>
        <w:jc w:val="center"/>
        <w:rPr>
          <w:rFonts w:eastAsia="Calibri"/>
          <w:b/>
          <w:bCs/>
          <w:u w:val="single"/>
        </w:rPr>
      </w:pPr>
    </w:p>
    <w:p w:rsidR="00CD4A32" w:rsidP="00CD4A32" w14:paraId="40995215" w14:textId="77777777">
      <w:pPr>
        <w:spacing w:after="160" w:line="259" w:lineRule="auto"/>
        <w:rPr>
          <w:rFonts w:eastAsia="Calibri"/>
          <w:b/>
          <w:bCs/>
          <w:u w:val="single"/>
        </w:rPr>
        <w:sectPr w:rsidSect="001B79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A33520" w:rsidP="00CD4A32" w14:paraId="38F9CBF8" w14:textId="77777777">
      <w:pPr>
        <w:spacing w:after="160" w:line="259" w:lineRule="auto"/>
        <w:rPr>
          <w:rFonts w:eastAsia="Calibri"/>
          <w:b/>
          <w:bCs/>
          <w:u w:val="single"/>
        </w:rPr>
      </w:pPr>
    </w:p>
    <w:p w:rsidR="00EA7017" w:rsidP="00EA7017" w14:paraId="0BC710B1" w14:textId="58D9DCD5">
      <w:pPr>
        <w:spacing w:after="160" w:line="259" w:lineRule="auto"/>
        <w:jc w:val="center"/>
        <w:rPr>
          <w:rFonts w:eastAsia="Calibri"/>
          <w:b/>
          <w:bCs/>
          <w:u w:val="single"/>
        </w:rPr>
      </w:pPr>
      <w:r>
        <w:rPr>
          <w:rFonts w:eastAsia="Calibri"/>
          <w:b/>
          <w:bCs/>
          <w:u w:val="single"/>
        </w:rPr>
        <w:t>MEMORANDUM IN SUPPORT</w:t>
      </w:r>
    </w:p>
    <w:p w:rsidR="00EA7017" w:rsidP="00B81EC1" w14:paraId="0F934E0B" w14:textId="7EE1AE13">
      <w:pPr>
        <w:pStyle w:val="Heading1"/>
      </w:pPr>
      <w:r>
        <w:t>INTRODUCTION</w:t>
      </w:r>
    </w:p>
    <w:p w:rsidR="00EF5726" w:rsidP="00B81EC1" w14:paraId="0D43B121" w14:textId="203F0CD6">
      <w:pPr>
        <w:pStyle w:val="BodyText"/>
      </w:pPr>
      <w:r>
        <w:t xml:space="preserve">The case is an unconstitutional and illegal </w:t>
      </w:r>
      <w:r w:rsidR="00313E32">
        <w:t xml:space="preserve">governmental </w:t>
      </w:r>
      <w:r>
        <w:t>assault upon religion. HUC exists to educate and train rabbis and lay leaders of the Reform Jewish movement.</w:t>
      </w:r>
      <w:r>
        <w:rPr>
          <w:rStyle w:val="FootnoteReference"/>
        </w:rPr>
        <w:footnoteReference w:id="2"/>
      </w:r>
      <w:r>
        <w:t xml:space="preserve"> The word “Religion” is in its legal name. The </w:t>
      </w:r>
      <w:r w:rsidR="00EF63B5">
        <w:t xml:space="preserve">Attorney General filed suit to take over the rabbinical program at HUC, including </w:t>
      </w:r>
      <w:r w:rsidR="0091003E">
        <w:t>all</w:t>
      </w:r>
      <w:r w:rsidR="00CB5321">
        <w:t xml:space="preserve"> </w:t>
      </w:r>
      <w:r w:rsidR="00EF63B5">
        <w:t xml:space="preserve">its </w:t>
      </w:r>
      <w:r w:rsidR="00CB5321">
        <w:t xml:space="preserve">Ohio-related </w:t>
      </w:r>
      <w:r w:rsidR="00EF63B5">
        <w:t xml:space="preserve">assets. He seeks to overturn the </w:t>
      </w:r>
      <w:r w:rsidR="005A6C36">
        <w:t xml:space="preserve">HUC Board’s </w:t>
      </w:r>
      <w:r w:rsidR="00EF63B5">
        <w:t>supermajority vote to close the Cincinnati-based rabbinical school</w:t>
      </w:r>
      <w:r w:rsidR="005A6C36">
        <w:t>.  T</w:t>
      </w:r>
      <w:r w:rsidR="00EF63B5">
        <w:t xml:space="preserve">he Board took </w:t>
      </w:r>
      <w:r w:rsidR="005A6C36">
        <w:t>that vote consistently with HUC’s governing documents and Ohio law</w:t>
      </w:r>
      <w:r w:rsidR="005717DC">
        <w:t xml:space="preserve"> </w:t>
      </w:r>
      <w:r w:rsidR="005A6C36">
        <w:t xml:space="preserve">and did so </w:t>
      </w:r>
      <w:r w:rsidR="00EF63B5">
        <w:t xml:space="preserve">to preserve </w:t>
      </w:r>
      <w:r w:rsidR="005A6C36">
        <w:t xml:space="preserve">HUC’s </w:t>
      </w:r>
      <w:r w:rsidR="00EF63B5">
        <w:t xml:space="preserve">core religious mission. The Attorney General has no role in dictating the religious affairs of institutions like HUC. </w:t>
      </w:r>
      <w:r w:rsidR="005A6C36">
        <w:t>The Court should reject h</w:t>
      </w:r>
      <w:r w:rsidR="00313E32">
        <w:t xml:space="preserve">is overreach into religious matters and </w:t>
      </w:r>
      <w:r w:rsidR="005A6C36">
        <w:t xml:space="preserve">should dismiss the Complaint because it </w:t>
      </w:r>
      <w:r w:rsidR="00313E32">
        <w:t>is unconstitutional</w:t>
      </w:r>
      <w:r w:rsidR="005A6C36">
        <w:t xml:space="preserve"> and</w:t>
      </w:r>
      <w:r w:rsidR="00313E32">
        <w:t xml:space="preserve"> </w:t>
      </w:r>
      <w:r w:rsidR="005A6C36">
        <w:t>unlawful</w:t>
      </w:r>
      <w:r w:rsidR="00313E32">
        <w:t xml:space="preserve">.  </w:t>
      </w:r>
    </w:p>
    <w:p w:rsidR="000F6479" w:rsidP="00313E32" w14:paraId="0DCA13C5" w14:textId="40A3818E">
      <w:pPr>
        <w:pStyle w:val="Heading1"/>
      </w:pPr>
      <w:r>
        <w:t xml:space="preserve"> </w:t>
      </w:r>
      <w:r w:rsidR="00826D43">
        <w:t>THE ALLEGATIONS OF THE COMPLAINT</w:t>
      </w:r>
    </w:p>
    <w:p w:rsidR="000F6479" w:rsidP="00B81EC1" w14:paraId="12BF7858" w14:textId="663FBBC9">
      <w:pPr>
        <w:pStyle w:val="Heading2"/>
      </w:pPr>
      <w:r>
        <w:t>Factual Background</w:t>
      </w:r>
    </w:p>
    <w:p w:rsidR="00781265" w:rsidRPr="00F23989" w:rsidP="00826D43" w14:paraId="364722F2" w14:textId="3A6E2A2A">
      <w:pPr>
        <w:pStyle w:val="Heading3"/>
        <w:rPr>
          <w:i w:val="0"/>
          <w:iCs/>
        </w:rPr>
      </w:pPr>
      <w:r w:rsidRPr="00F23989">
        <w:rPr>
          <w:i w:val="0"/>
          <w:iCs/>
        </w:rPr>
        <w:t xml:space="preserve">The 1950 Consolidation Agreement </w:t>
      </w:r>
      <w:r w:rsidRPr="00F23989" w:rsidR="00FA04F5">
        <w:rPr>
          <w:i w:val="0"/>
          <w:iCs/>
        </w:rPr>
        <w:t>Established</w:t>
      </w:r>
      <w:r w:rsidRPr="00F23989">
        <w:rPr>
          <w:i w:val="0"/>
          <w:iCs/>
        </w:rPr>
        <w:t xml:space="preserve"> </w:t>
      </w:r>
      <w:r w:rsidRPr="00F23989" w:rsidR="00FA04F5">
        <w:rPr>
          <w:i w:val="0"/>
          <w:iCs/>
        </w:rPr>
        <w:t>th</w:t>
      </w:r>
      <w:r w:rsidRPr="00F23989">
        <w:rPr>
          <w:i w:val="0"/>
          <w:iCs/>
        </w:rPr>
        <w:t xml:space="preserve">e </w:t>
      </w:r>
      <w:r w:rsidR="00313E32">
        <w:rPr>
          <w:i w:val="0"/>
          <w:iCs/>
        </w:rPr>
        <w:t xml:space="preserve">Religious </w:t>
      </w:r>
      <w:r w:rsidRPr="00F23989">
        <w:rPr>
          <w:i w:val="0"/>
          <w:iCs/>
        </w:rPr>
        <w:t>Mission of HUC</w:t>
      </w:r>
      <w:r w:rsidR="00313E32">
        <w:rPr>
          <w:i w:val="0"/>
          <w:iCs/>
        </w:rPr>
        <w:t xml:space="preserve"> an</w:t>
      </w:r>
      <w:r w:rsidRPr="00F23989">
        <w:rPr>
          <w:i w:val="0"/>
          <w:iCs/>
        </w:rPr>
        <w:t>d Permitted Amendment</w:t>
      </w:r>
      <w:r w:rsidRPr="00F23989" w:rsidR="00FA04F5">
        <w:rPr>
          <w:i w:val="0"/>
          <w:iCs/>
        </w:rPr>
        <w:t xml:space="preserve"> of the Agreement</w:t>
      </w:r>
      <w:r w:rsidRPr="00F23989">
        <w:rPr>
          <w:i w:val="0"/>
          <w:iCs/>
        </w:rPr>
        <w:t xml:space="preserve">. </w:t>
      </w:r>
    </w:p>
    <w:p w:rsidR="00F227F6" w:rsidP="005A6C36" w14:paraId="3E2B2F12" w14:textId="453FDF4F">
      <w:pPr>
        <w:pStyle w:val="BodyText"/>
      </w:pPr>
      <w:r>
        <w:t>T</w:t>
      </w:r>
      <w:r>
        <w:t>he AG</w:t>
      </w:r>
      <w:r>
        <w:t>’s Complaint</w:t>
      </w:r>
      <w:r w:rsidR="00243C9D">
        <w:t xml:space="preserve"> fixates on</w:t>
      </w:r>
      <w:r>
        <w:t xml:space="preserve"> a single sentence in the January 1950 agreement between Hebrew Union College of Cincinnati and the Jewish Institute of Religion to consolidate (“1950 Consolidation Agreement”) attached as Exhibit 1 to the Complaint. </w:t>
      </w:r>
      <w:r w:rsidR="003051ED">
        <w:t>Section 2 of the 1950 Consolidation Agreement provides</w:t>
      </w:r>
      <w:r>
        <w:t>, “Consolidated corporation shall permanently maintain rabbinical schools in Cincinnati, Ohio and New York, New York.”  (Compl. Ex. 1 § 2.)</w:t>
      </w:r>
    </w:p>
    <w:p w:rsidR="00B5456E" w:rsidP="00B5456E" w14:paraId="3C4E2AF5" w14:textId="44304FE4">
      <w:pPr>
        <w:spacing w:after="160" w:line="480" w:lineRule="auto"/>
        <w:ind w:firstLine="720"/>
        <w:rPr>
          <w:rFonts w:eastAsia="Calibri"/>
        </w:rPr>
      </w:pPr>
      <w:r>
        <w:t xml:space="preserve">The </w:t>
      </w:r>
      <w:r w:rsidR="0091003E">
        <w:t xml:space="preserve">1950 </w:t>
      </w:r>
      <w:r>
        <w:t xml:space="preserve">Consolidation Agreement memorializes HUC’s </w:t>
      </w:r>
      <w:r w:rsidR="00F227F6">
        <w:t xml:space="preserve">larger mission to educate and train future clergy and leaders of the Reform </w:t>
      </w:r>
      <w:r w:rsidR="007E5021">
        <w:t xml:space="preserve">Jewish </w:t>
      </w:r>
      <w:r w:rsidR="00F227F6">
        <w:t xml:space="preserve">movement. </w:t>
      </w:r>
      <w:r>
        <w:rPr>
          <w:rFonts w:eastAsia="Calibri"/>
        </w:rPr>
        <w:t xml:space="preserve">Section 3 specified </w:t>
      </w:r>
      <w:r>
        <w:rPr>
          <w:rFonts w:eastAsia="Calibri"/>
        </w:rPr>
        <w:t xml:space="preserve">HUC’s </w:t>
      </w:r>
      <w:r w:rsidR="00317C41">
        <w:rPr>
          <w:rFonts w:eastAsia="Calibri"/>
        </w:rPr>
        <w:t xml:space="preserve">religious </w:t>
      </w:r>
      <w:r>
        <w:rPr>
          <w:rFonts w:eastAsia="Calibri"/>
        </w:rPr>
        <w:t xml:space="preserve">purposes </w:t>
      </w:r>
      <w:r>
        <w:rPr>
          <w:rFonts w:eastAsia="Calibri"/>
        </w:rPr>
        <w:t>in detail</w:t>
      </w:r>
      <w:r>
        <w:rPr>
          <w:rFonts w:eastAsia="Calibri"/>
        </w:rPr>
        <w:t xml:space="preserve">: </w:t>
      </w:r>
    </w:p>
    <w:p w:rsidR="00B5456E" w:rsidP="00B5456E" w14:paraId="1DD2CDAD" w14:textId="77777777">
      <w:pPr>
        <w:pStyle w:val="Blockquote"/>
      </w:pPr>
      <w:r>
        <w:t xml:space="preserve">(a) to establish and maintain a Jewish educational institution or institutions, which shall be open to all persons upon equal terms, and which shall operate under the patronage of the Union of American Hebrew Congregations; to prepare students to become Rabbis, Jewish Religious Teachers and Social Workers; to promote the study of the Jewish Religion, history and literature, and otherwise to foster and perpetuate Judaism and disseminate knowledge thereof; </w:t>
      </w:r>
    </w:p>
    <w:p w:rsidR="00B5456E" w:rsidP="00B5456E" w14:paraId="3B292311" w14:textId="77777777">
      <w:pPr>
        <w:pStyle w:val="Blockquote"/>
      </w:pPr>
      <w:r>
        <w:t xml:space="preserve">(b) To establish and maintain schools to train in liberal spirit, men and women for the Jewish ministry, research and community service…; and </w:t>
      </w:r>
    </w:p>
    <w:p w:rsidR="00B5456E" w:rsidP="00B5456E" w14:paraId="34330603" w14:textId="77777777">
      <w:pPr>
        <w:pStyle w:val="Blockquote"/>
      </w:pPr>
      <w:r>
        <w:t xml:space="preserve">(c) To grant and confer the degrees of Rabbi, Master of Hebrew Literature…and such other degrees, diplomas and certifications to comport with the foregoing purposes of consolidated corporation. </w:t>
      </w:r>
    </w:p>
    <w:p w:rsidR="00781265" w:rsidP="00BC0200" w14:paraId="58ABDC28" w14:textId="4F4720D5">
      <w:pPr>
        <w:pStyle w:val="BodyText"/>
        <w:ind w:firstLine="0"/>
      </w:pPr>
      <w:r>
        <w:t xml:space="preserve">(Compl. Ex. 1 at 6–7.) </w:t>
      </w:r>
    </w:p>
    <w:p w:rsidR="00825AEA" w:rsidP="00CB5321" w14:paraId="2AE43FD0" w14:textId="5508C9BB">
      <w:pPr>
        <w:pStyle w:val="BodyText"/>
      </w:pPr>
      <w:r>
        <w:t xml:space="preserve"> </w:t>
      </w:r>
      <w:r w:rsidR="00781265">
        <w:t xml:space="preserve"> </w:t>
      </w:r>
      <w:r w:rsidR="005A6C36">
        <w:t>T</w:t>
      </w:r>
      <w:r w:rsidR="00781265">
        <w:t xml:space="preserve">he </w:t>
      </w:r>
      <w:r w:rsidR="00FA04F5">
        <w:t xml:space="preserve">1950 </w:t>
      </w:r>
      <w:r w:rsidR="00781265">
        <w:t>Consolidation Agreement</w:t>
      </w:r>
      <w:r w:rsidR="005A6C36">
        <w:t xml:space="preserve"> also spells out how it can be amended.  </w:t>
      </w:r>
      <w:r w:rsidR="00781265">
        <w:t>Section 9 state</w:t>
      </w:r>
      <w:r w:rsidR="003051ED">
        <w:t>s</w:t>
      </w:r>
      <w:r w:rsidR="00781265">
        <w:t xml:space="preserve"> that, “The affirmative vote of at least two-thirds of all the Trustees shall be required for any revision or amendment of this consolidation agreement.”  </w:t>
      </w:r>
      <w:r w:rsidR="007C6296">
        <w:t>(</w:t>
      </w:r>
      <w:r w:rsidR="00781265">
        <w:t>Compl</w:t>
      </w:r>
      <w:r w:rsidR="007C6296">
        <w:t>.</w:t>
      </w:r>
      <w:r w:rsidR="00781265">
        <w:t xml:space="preserve"> Ex</w:t>
      </w:r>
      <w:r w:rsidR="007C6296">
        <w:t>.</w:t>
      </w:r>
      <w:r w:rsidR="00781265">
        <w:t xml:space="preserve"> 1</w:t>
      </w:r>
      <w:r w:rsidR="007C6296">
        <w:t xml:space="preserve"> at</w:t>
      </w:r>
      <w:r w:rsidR="00781265">
        <w:t xml:space="preserve"> 11.</w:t>
      </w:r>
      <w:r w:rsidR="007C6296">
        <w:t>)</w:t>
      </w:r>
      <w:r w:rsidR="00781265">
        <w:t xml:space="preserve"> By its terms, Section 9 applied to the </w:t>
      </w:r>
      <w:r w:rsidRPr="00781265" w:rsidR="00781265">
        <w:rPr>
          <w:u w:val="single"/>
        </w:rPr>
        <w:t>entire</w:t>
      </w:r>
      <w:r w:rsidR="00781265">
        <w:t xml:space="preserve"> 1950 Consol</w:t>
      </w:r>
      <w:r w:rsidRPr="00CB5321" w:rsidR="00781265">
        <w:rPr>
          <w:rStyle w:val="BodyTextChar"/>
        </w:rPr>
        <w:t>i</w:t>
      </w:r>
      <w:r w:rsidR="00781265">
        <w:t xml:space="preserve">dation Agreement, including the language in Section 2 requiring permanent rabbinical schools in Cincinnati and New York City. In other words, the 1950 Consolidation Agreement called for permanent rabbinical schools in Cincinnati and New York City until and unless a future HUC </w:t>
      </w:r>
      <w:r w:rsidR="00317C41">
        <w:t>B</w:t>
      </w:r>
      <w:r w:rsidR="00781265">
        <w:t xml:space="preserve">oard </w:t>
      </w:r>
      <w:r w:rsidR="00F702CD">
        <w:t>chose</w:t>
      </w:r>
      <w:r w:rsidR="00781265">
        <w:t xml:space="preserve"> to change that requirement </w:t>
      </w:r>
      <w:r w:rsidR="003051ED">
        <w:t xml:space="preserve">pursuant to </w:t>
      </w:r>
      <w:r w:rsidR="00781265">
        <w:t xml:space="preserve">Section 9.  </w:t>
      </w:r>
    </w:p>
    <w:p w:rsidR="00781265" w:rsidRPr="00F23989" w:rsidP="00F23989" w14:paraId="256E84AC" w14:textId="4D2FE825">
      <w:pPr>
        <w:pStyle w:val="Heading3"/>
        <w:rPr>
          <w:i w:val="0"/>
          <w:iCs/>
        </w:rPr>
      </w:pPr>
      <w:r>
        <w:rPr>
          <w:i w:val="0"/>
          <w:iCs/>
        </w:rPr>
        <w:t xml:space="preserve">To Address Declining Enrollment and </w:t>
      </w:r>
      <w:r w:rsidR="00E22D0F">
        <w:rPr>
          <w:i w:val="0"/>
          <w:iCs/>
        </w:rPr>
        <w:t xml:space="preserve">Jewish </w:t>
      </w:r>
      <w:r>
        <w:rPr>
          <w:i w:val="0"/>
          <w:iCs/>
        </w:rPr>
        <w:t xml:space="preserve">Population Trends, </w:t>
      </w:r>
      <w:r w:rsidR="00273EC9">
        <w:rPr>
          <w:i w:val="0"/>
          <w:iCs/>
        </w:rPr>
        <w:t>i</w:t>
      </w:r>
      <w:r w:rsidRPr="00F23989">
        <w:rPr>
          <w:i w:val="0"/>
          <w:iCs/>
        </w:rPr>
        <w:t xml:space="preserve">n April 2022 the HUC Board Voted to End the Residential Rabbinical Program in Cincinnati </w:t>
      </w:r>
      <w:r w:rsidRPr="00F23989" w:rsidR="00967F7B">
        <w:rPr>
          <w:i w:val="0"/>
          <w:iCs/>
        </w:rPr>
        <w:t>at</w:t>
      </w:r>
      <w:r w:rsidRPr="00F23989">
        <w:rPr>
          <w:i w:val="0"/>
          <w:iCs/>
        </w:rPr>
        <w:t xml:space="preserve"> the Conclusion of the 2025-26 School Year.  </w:t>
      </w:r>
    </w:p>
    <w:p w:rsidR="007C6296" w:rsidP="00B81EC1" w14:paraId="7D3EC096" w14:textId="3C6FF76A">
      <w:pPr>
        <w:pStyle w:val="BodyText"/>
      </w:pPr>
      <w:r>
        <w:t xml:space="preserve">In April 2022, the </w:t>
      </w:r>
      <w:r w:rsidR="00B5456E">
        <w:t xml:space="preserve">HUC </w:t>
      </w:r>
      <w:r>
        <w:t xml:space="preserve">Board voted to amend the </w:t>
      </w:r>
      <w:r w:rsidR="00F23989">
        <w:t xml:space="preserve">1950 </w:t>
      </w:r>
      <w:r>
        <w:t xml:space="preserve">Consolidation Agreement to delete the sentence in Article 2 requiring it to </w:t>
      </w:r>
      <w:r w:rsidR="00B535FD">
        <w:t>“</w:t>
      </w:r>
      <w:r>
        <w:t>permanently maintain</w:t>
      </w:r>
      <w:r w:rsidR="00B535FD">
        <w:t>”</w:t>
      </w:r>
      <w:r>
        <w:t xml:space="preserve"> rabbinical schools in Cincinnati and New York. </w:t>
      </w:r>
      <w:r w:rsidR="00F23989">
        <w:t xml:space="preserve">(Compl. Ex. 3.) </w:t>
      </w:r>
      <w:r>
        <w:t>HUC</w:t>
      </w:r>
      <w:r w:rsidR="00B5456E">
        <w:t>’s</w:t>
      </w:r>
      <w:r>
        <w:t xml:space="preserve"> resolution directed the closing of the Cincinnati rabbinical school </w:t>
      </w:r>
      <w:r w:rsidR="00F23989">
        <w:t>at</w:t>
      </w:r>
      <w:r>
        <w:t xml:space="preserve"> the end of the </w:t>
      </w:r>
      <w:r w:rsidR="00F23989">
        <w:t>2026 academic</w:t>
      </w:r>
      <w:r>
        <w:t xml:space="preserve"> year</w:t>
      </w:r>
      <w:r w:rsidR="00B5456E">
        <w:t>.</w:t>
      </w:r>
      <w:r>
        <w:t xml:space="preserve"> </w:t>
      </w:r>
      <w:r w:rsidR="005A6C36">
        <w:t>(</w:t>
      </w:r>
      <w:r w:rsidRPr="00F23989" w:rsidR="00F23989">
        <w:rPr>
          <w:i/>
          <w:iCs/>
        </w:rPr>
        <w:t>Id</w:t>
      </w:r>
      <w:r w:rsidR="00F23989">
        <w:t>.</w:t>
      </w:r>
      <w:r w:rsidR="005A6C36">
        <w:t>)</w:t>
      </w:r>
      <w:r w:rsidR="00F23989">
        <w:t xml:space="preserve"> </w:t>
      </w:r>
      <w:r>
        <w:t xml:space="preserve">In October 2023, the </w:t>
      </w:r>
      <w:r w:rsidR="00B5456E">
        <w:t>HUC</w:t>
      </w:r>
      <w:r w:rsidR="00317C41">
        <w:t xml:space="preserve"> Board</w:t>
      </w:r>
      <w:r w:rsidR="00B5456E">
        <w:t xml:space="preserve"> </w:t>
      </w:r>
      <w:r>
        <w:t>voted to close the graduate programs in Cincinnati.</w:t>
      </w:r>
      <w:r>
        <w:t xml:space="preserve">  (Compl. ¶ 30 &amp; Ex. 4.)    </w:t>
      </w:r>
    </w:p>
    <w:p w:rsidR="007C6296" w:rsidP="007C6296" w14:paraId="4A9C01C0" w14:textId="19AD4E82">
      <w:pPr>
        <w:pStyle w:val="BodyText"/>
      </w:pPr>
      <w:r>
        <w:t>The resolution at issue in this case (</w:t>
      </w:r>
      <w:r w:rsidR="00317C41">
        <w:t xml:space="preserve">included in </w:t>
      </w:r>
      <w:r>
        <w:t xml:space="preserve">Exhibit 3 to the Complaint) </w:t>
      </w:r>
      <w:r>
        <w:t xml:space="preserve">specified </w:t>
      </w:r>
      <w:r>
        <w:t xml:space="preserve">the reasons for </w:t>
      </w:r>
      <w:r>
        <w:t>closing the residential rabbinical program in Cincinnati</w:t>
      </w:r>
      <w:r>
        <w:t>. Adopted April 11, 2022, the resolution acknowledged challenges facing HUC includ</w:t>
      </w:r>
      <w:r>
        <w:t>ing</w:t>
      </w:r>
      <w:r w:rsidR="006D5756">
        <w:t>:</w:t>
      </w:r>
      <w:r>
        <w:t xml:space="preserve"> </w:t>
      </w:r>
    </w:p>
    <w:p w:rsidR="007C6296" w:rsidP="00B81EC1" w14:paraId="51E0B485" w14:textId="1B0C1B9F">
      <w:pPr>
        <w:pStyle w:val="Blockquote"/>
      </w:pPr>
      <w:r>
        <w:t>declining enrollment in our residential rabbinical programs, caused by such factors as waning interest in attending liberal seminaries, less denominational affiliation within the Jewish world, and more seminary choices for potential rabbinical students; declining financial support from Reform congregations; and the operational complexity, difficulty of ensuring consistent safe and respectful cultures, and added costs of operating similar programs across three North American campuses.</w:t>
      </w:r>
    </w:p>
    <w:p w:rsidR="001B7D28" w:rsidP="00B81EC1" w14:paraId="33D1D774" w14:textId="5A66B225">
      <w:pPr>
        <w:pStyle w:val="Blockquote"/>
      </w:pPr>
      <w:r>
        <w:t xml:space="preserve">(Compl. Ex. </w:t>
      </w:r>
      <w:r>
        <w:t>3</w:t>
      </w:r>
      <w:r>
        <w:t xml:space="preserve"> at </w:t>
      </w:r>
      <w:r>
        <w:t>4.</w:t>
      </w:r>
      <w:r>
        <w:t>)</w:t>
      </w:r>
    </w:p>
    <w:p w:rsidR="001B7D28" w:rsidP="00B81EC1" w14:paraId="16104683" w14:textId="7CDDAF7E">
      <w:pPr>
        <w:pStyle w:val="BodyText"/>
      </w:pPr>
      <w:r>
        <w:t>Motivated by</w:t>
      </w:r>
      <w:r>
        <w:t xml:space="preserve"> th</w:t>
      </w:r>
      <w:r w:rsidR="00581FD2">
        <w:t>os</w:t>
      </w:r>
      <w:r>
        <w:t>e concerns, the resolution recommend</w:t>
      </w:r>
      <w:r w:rsidR="00581FD2">
        <w:t>ed</w:t>
      </w:r>
      <w:r>
        <w:t xml:space="preserve"> </w:t>
      </w:r>
      <w:r w:rsidR="00581FD2">
        <w:t>“</w:t>
      </w:r>
      <w:r>
        <w:t>operat</w:t>
      </w:r>
      <w:r w:rsidR="00581FD2">
        <w:t>[ing]</w:t>
      </w:r>
      <w:r>
        <w:t xml:space="preserve"> our North American residential rabbinical programs in Los Angeles and New York and ceas</w:t>
      </w:r>
      <w:r w:rsidR="00581FD2">
        <w:t>[ing]</w:t>
      </w:r>
      <w:r>
        <w:t xml:space="preserve"> operating a </w:t>
      </w:r>
      <w:r w:rsidRPr="006D5756">
        <w:t>residential</w:t>
      </w:r>
      <w:r w:rsidR="00317C41">
        <w:t xml:space="preserve"> </w:t>
      </w:r>
      <w:r>
        <w:t xml:space="preserve">rabbinical program in Cincinnati no later than the end of the 2026 academic year, until such time as further changes may be recommended by the Provost in consultation with the faculty, and approved by the Board of Governors.” </w:t>
      </w:r>
      <w:r w:rsidR="00581FD2">
        <w:t>(Compl. Ex. 3 at 4</w:t>
      </w:r>
      <w:r>
        <w:t>.</w:t>
      </w:r>
      <w:r w:rsidR="00581FD2">
        <w:t>)</w:t>
      </w:r>
      <w:r>
        <w:rPr>
          <w:rStyle w:val="FootnoteReference"/>
          <w:rFonts w:eastAsia="Calibri"/>
        </w:rPr>
        <w:footnoteReference w:id="3"/>
      </w:r>
      <w:r>
        <w:t xml:space="preserve"> The </w:t>
      </w:r>
      <w:r w:rsidR="0091003E">
        <w:t xml:space="preserve">Board </w:t>
      </w:r>
      <w:r>
        <w:t xml:space="preserve">resolution </w:t>
      </w:r>
      <w:r w:rsidR="00581FD2">
        <w:t xml:space="preserve">further </w:t>
      </w:r>
      <w:r>
        <w:t>recommend</w:t>
      </w:r>
      <w:r w:rsidR="00273EC9">
        <w:t>ed</w:t>
      </w:r>
      <w:r>
        <w:t xml:space="preserve"> </w:t>
      </w:r>
      <w:r w:rsidR="007E5021">
        <w:t xml:space="preserve">a continued </w:t>
      </w:r>
      <w:r>
        <w:t xml:space="preserve">HUC </w:t>
      </w:r>
      <w:r w:rsidR="007E5021">
        <w:t xml:space="preserve">presence in </w:t>
      </w:r>
      <w:r>
        <w:t>Cincinnati</w:t>
      </w:r>
      <w:r w:rsidR="007E5021">
        <w:t>.</w:t>
      </w:r>
      <w:r>
        <w:t xml:space="preserve"> </w:t>
      </w:r>
      <w:r w:rsidRPr="001B7D28">
        <w:rPr>
          <w:i/>
          <w:iCs/>
        </w:rPr>
        <w:t>Id</w:t>
      </w:r>
      <w:r>
        <w:t xml:space="preserve">.      </w:t>
      </w:r>
    </w:p>
    <w:p w:rsidR="00581FD2" w:rsidP="00581FD2" w14:paraId="10FA2D75" w14:textId="26E02855">
      <w:pPr>
        <w:pStyle w:val="BodyText"/>
      </w:pPr>
      <w:r>
        <w:t xml:space="preserve">Accordingly, the resolution deleted the language in Section 2 of the 1950 Consolidation Agreement </w:t>
      </w:r>
      <w:r w:rsidR="00967F7B">
        <w:t xml:space="preserve">requiring </w:t>
      </w:r>
      <w:r>
        <w:t xml:space="preserve">a place of business in New York City and the permanent maintenance of rabbinical schools in Cincinnati and New York, New York. </w:t>
      </w:r>
      <w:r>
        <w:t>(Compl. Ex. 3 at 4</w:t>
      </w:r>
      <w:r>
        <w:t>.</w:t>
      </w:r>
      <w:r>
        <w:t>)</w:t>
      </w:r>
      <w:r>
        <w:t xml:space="preserve"> Consistent with this change, the resolution called for the continued operation of </w:t>
      </w:r>
      <w:r w:rsidR="009123AD">
        <w:t xml:space="preserve">the </w:t>
      </w:r>
      <w:r>
        <w:t xml:space="preserve">HUC North American residential rabbinical program in Los Angeles and New York City and that the </w:t>
      </w:r>
      <w:r w:rsidRPr="00273EC9">
        <w:t>residential</w:t>
      </w:r>
      <w:r>
        <w:t xml:space="preserve"> rabbinical program in Cincinnati cease operations no later than the end of the 2026 academic year. </w:t>
      </w:r>
      <w:r w:rsidRPr="001B7D28">
        <w:rPr>
          <w:i/>
          <w:iCs/>
        </w:rPr>
        <w:t>Id</w:t>
      </w:r>
      <w:r>
        <w:t xml:space="preserve">. The resolution </w:t>
      </w:r>
      <w:r w:rsidR="007E5021">
        <w:t>also called for the pursuit of a c</w:t>
      </w:r>
      <w:r>
        <w:t xml:space="preserve">ontinued </w:t>
      </w:r>
      <w:r w:rsidR="007E5021">
        <w:t xml:space="preserve">HUC presence </w:t>
      </w:r>
      <w:r w:rsidR="006948AE">
        <w:t xml:space="preserve">in Cincinnati </w:t>
      </w:r>
      <w:r>
        <w:t>outside the residential program</w:t>
      </w:r>
      <w:r w:rsidR="007E5021">
        <w:t xml:space="preserve">. </w:t>
      </w:r>
      <w:r w:rsidRPr="007E5021" w:rsidR="007E5021">
        <w:rPr>
          <w:i/>
          <w:iCs/>
        </w:rPr>
        <w:t>Id</w:t>
      </w:r>
      <w:r w:rsidR="007E5021">
        <w:t xml:space="preserve">. </w:t>
      </w:r>
      <w:r>
        <w:t xml:space="preserve"> </w:t>
      </w:r>
    </w:p>
    <w:p w:rsidR="001B7D28" w:rsidRPr="001B7D28" w:rsidP="00273EC9" w14:paraId="55BC0004" w14:textId="64E50688">
      <w:pPr>
        <w:pStyle w:val="Heading3"/>
        <w:numPr>
          <w:ilvl w:val="0"/>
          <w:numId w:val="0"/>
        </w:numPr>
        <w:tabs>
          <w:tab w:val="left" w:pos="1530"/>
        </w:tabs>
        <w:ind w:left="2160" w:hanging="720"/>
      </w:pPr>
      <w:r w:rsidRPr="00273EC9">
        <w:rPr>
          <w:i w:val="0"/>
          <w:iCs/>
        </w:rPr>
        <w:t>3</w:t>
      </w:r>
      <w:r w:rsidRPr="00273EC9" w:rsidR="00AB3669">
        <w:rPr>
          <w:i w:val="0"/>
          <w:iCs/>
        </w:rPr>
        <w:t>.</w:t>
      </w:r>
      <w:r w:rsidR="00AB3669">
        <w:tab/>
      </w:r>
      <w:r w:rsidRPr="00273EC9" w:rsidR="00F96009">
        <w:rPr>
          <w:i w:val="0"/>
          <w:iCs/>
        </w:rPr>
        <w:t xml:space="preserve">The Attorney General </w:t>
      </w:r>
      <w:r w:rsidRPr="00273EC9">
        <w:rPr>
          <w:i w:val="0"/>
          <w:iCs/>
        </w:rPr>
        <w:t xml:space="preserve">has Known </w:t>
      </w:r>
      <w:r w:rsidR="00B535FD">
        <w:rPr>
          <w:i w:val="0"/>
          <w:iCs/>
        </w:rPr>
        <w:t>about</w:t>
      </w:r>
      <w:r w:rsidRPr="00273EC9" w:rsidR="00B535FD">
        <w:rPr>
          <w:i w:val="0"/>
          <w:iCs/>
        </w:rPr>
        <w:t xml:space="preserve"> </w:t>
      </w:r>
      <w:r w:rsidRPr="00273EC9">
        <w:rPr>
          <w:i w:val="0"/>
          <w:iCs/>
        </w:rPr>
        <w:t>HUC</w:t>
      </w:r>
      <w:r w:rsidRPr="00273EC9" w:rsidR="00F96009">
        <w:rPr>
          <w:i w:val="0"/>
          <w:iCs/>
        </w:rPr>
        <w:t>’</w:t>
      </w:r>
      <w:r w:rsidRPr="00273EC9" w:rsidR="00F96009">
        <w:rPr>
          <w:i w:val="0"/>
          <w:iCs/>
        </w:rPr>
        <w:t>s</w:t>
      </w:r>
      <w:r w:rsidRPr="00273EC9">
        <w:rPr>
          <w:i w:val="0"/>
          <w:iCs/>
        </w:rPr>
        <w:t xml:space="preserve"> Plans Since 2022.</w:t>
      </w:r>
    </w:p>
    <w:p w:rsidR="001B7D28" w:rsidP="00B81EC1" w14:paraId="5E5C8F62" w14:textId="3F84E670">
      <w:pPr>
        <w:pStyle w:val="BodyText"/>
      </w:pPr>
      <w:r>
        <w:t xml:space="preserve">The AG has </w:t>
      </w:r>
      <w:r w:rsidR="00581FD2">
        <w:t xml:space="preserve">known </w:t>
      </w:r>
      <w:r w:rsidR="00B535FD">
        <w:t xml:space="preserve">about </w:t>
      </w:r>
      <w:r>
        <w:t>HUC</w:t>
      </w:r>
      <w:r w:rsidR="00F96009">
        <w:t>’s</w:t>
      </w:r>
      <w:r>
        <w:t xml:space="preserve"> plans </w:t>
      </w:r>
      <w:r w:rsidR="00581FD2">
        <w:t xml:space="preserve">for </w:t>
      </w:r>
      <w:r>
        <w:t xml:space="preserve">the Cincinnati rabbinical program since </w:t>
      </w:r>
      <w:r w:rsidR="00581FD2">
        <w:t xml:space="preserve">the </w:t>
      </w:r>
      <w:r>
        <w:t>April 2022</w:t>
      </w:r>
      <w:r w:rsidR="00581FD2">
        <w:t xml:space="preserve"> </w:t>
      </w:r>
      <w:r w:rsidR="00802A4D">
        <w:t>B</w:t>
      </w:r>
      <w:r w:rsidR="00581FD2">
        <w:t>oard vote</w:t>
      </w:r>
      <w:r>
        <w:t xml:space="preserve">. As the AG </w:t>
      </w:r>
      <w:r w:rsidR="00581FD2">
        <w:t>acknowledges (</w:t>
      </w:r>
      <w:r w:rsidR="00581FD2">
        <w:rPr>
          <w:i/>
          <w:iCs/>
        </w:rPr>
        <w:t xml:space="preserve">see </w:t>
      </w:r>
      <w:r w:rsidR="00581FD2">
        <w:t>Compl. fn.1 &amp; Ex. 2)</w:t>
      </w:r>
      <w:r>
        <w:t>, he initiated other litigation in Hamilton County concerning the Klau Library on HUC</w:t>
      </w:r>
      <w:r w:rsidR="0099402E">
        <w:t>’s</w:t>
      </w:r>
      <w:r>
        <w:t xml:space="preserve"> </w:t>
      </w:r>
      <w:r w:rsidR="0099402E">
        <w:t xml:space="preserve">Cincinnati </w:t>
      </w:r>
      <w:r>
        <w:t>campus.</w:t>
      </w:r>
      <w:r>
        <w:rPr>
          <w:rStyle w:val="FootnoteReference"/>
          <w:rFonts w:eastAsia="Calibri"/>
        </w:rPr>
        <w:footnoteReference w:id="4"/>
      </w:r>
      <w:r>
        <w:t xml:space="preserve"> Th</w:t>
      </w:r>
      <w:r w:rsidR="00B5456E">
        <w:t>at</w:t>
      </w:r>
      <w:r>
        <w:t xml:space="preserve"> case has since settled. The AG</w:t>
      </w:r>
      <w:r w:rsidR="0099402E">
        <w:t xml:space="preserve"> </w:t>
      </w:r>
      <w:r w:rsidR="00967F7B">
        <w:t>must</w:t>
      </w:r>
      <w:r>
        <w:t xml:space="preserve"> </w:t>
      </w:r>
      <w:r w:rsidR="00967F7B">
        <w:t>admit,</w:t>
      </w:r>
      <w:r>
        <w:t xml:space="preserve"> and the Court may take judicial notice that before and during the litigation of the Klau library case</w:t>
      </w:r>
      <w:r w:rsidR="00967F7B">
        <w:t>,</w:t>
      </w:r>
      <w:r>
        <w:t xml:space="preserve"> HUC provided </w:t>
      </w:r>
      <w:r w:rsidR="00F96009">
        <w:t xml:space="preserve">the AG with </w:t>
      </w:r>
      <w:r>
        <w:t xml:space="preserve">extensive documentation </w:t>
      </w:r>
      <w:r w:rsidR="00273EC9">
        <w:t xml:space="preserve">concerning </w:t>
      </w:r>
      <w:r>
        <w:t>the Cincinnati rabbinical program</w:t>
      </w:r>
      <w:r w:rsidR="00967F7B">
        <w:t xml:space="preserve">, including </w:t>
      </w:r>
      <w:r w:rsidR="0099402E">
        <w:t xml:space="preserve">why the Board modified it as </w:t>
      </w:r>
      <w:r w:rsidR="00967F7B">
        <w:t>Complaint Exhibit 3</w:t>
      </w:r>
      <w:r w:rsidR="0099402E">
        <w:t xml:space="preserve"> reflects</w:t>
      </w:r>
      <w:r>
        <w:t xml:space="preserve">. It is anyone’s guess why the AG waited </w:t>
      </w:r>
      <w:r w:rsidR="0099402E">
        <w:t xml:space="preserve">four years to </w:t>
      </w:r>
      <w:r w:rsidR="00967F7B">
        <w:t>challeng</w:t>
      </w:r>
      <w:r w:rsidR="0099402E">
        <w:t>e</w:t>
      </w:r>
      <w:r w:rsidR="00967F7B">
        <w:t xml:space="preserve"> a decision made </w:t>
      </w:r>
      <w:r w:rsidR="0099402E">
        <w:t>in April 2022</w:t>
      </w:r>
      <w:r w:rsidR="00467C4A">
        <w:t>.</w:t>
      </w:r>
      <w:r>
        <w:rPr>
          <w:rStyle w:val="FootnoteReference"/>
          <w:rFonts w:eastAsia="Calibri"/>
        </w:rPr>
        <w:footnoteReference w:id="5"/>
      </w:r>
      <w:r w:rsidR="00F227F6">
        <w:t xml:space="preserve">  </w:t>
      </w:r>
      <w:r>
        <w:t xml:space="preserve">   </w:t>
      </w:r>
    </w:p>
    <w:p w:rsidR="00870D7D" w:rsidRPr="00F94730" w:rsidP="00870D7D" w14:paraId="4C1A8823" w14:textId="6BD76320">
      <w:pPr>
        <w:pStyle w:val="Heading2"/>
      </w:pPr>
      <w:r w:rsidRPr="00F94730">
        <w:t xml:space="preserve">The </w:t>
      </w:r>
      <w:r w:rsidR="00DF306F">
        <w:t>Complaint Seeks to Take Over HUC</w:t>
      </w:r>
      <w:r w:rsidR="00DF306F">
        <w:t>’</w:t>
      </w:r>
      <w:r w:rsidR="00DF306F">
        <w:t>s Rabbinical Program.</w:t>
      </w:r>
    </w:p>
    <w:p w:rsidR="00217004" w:rsidP="00217004" w14:paraId="1780FD94" w14:textId="4B7E7053">
      <w:pPr>
        <w:pStyle w:val="BodyText"/>
      </w:pPr>
      <w:r>
        <w:t xml:space="preserve">Through his Complaint, </w:t>
      </w:r>
      <w:r w:rsidRPr="00AB3669" w:rsidR="00AB3669">
        <w:t xml:space="preserve">the Attorney General </w:t>
      </w:r>
      <w:r w:rsidR="003051ED">
        <w:t>demands</w:t>
      </w:r>
      <w:r w:rsidRPr="00AB3669" w:rsidR="003051ED">
        <w:t xml:space="preserve"> </w:t>
      </w:r>
      <w:r w:rsidRPr="00AB3669" w:rsidR="00AB3669">
        <w:t xml:space="preserve">to take over HUC’s rabbinical </w:t>
      </w:r>
      <w:r w:rsidRPr="00AB3669" w:rsidR="00036A47">
        <w:t>program</w:t>
      </w:r>
      <w:r w:rsidRPr="00AB3669" w:rsidR="00AB3669">
        <w:t xml:space="preserve"> including </w:t>
      </w:r>
      <w:r w:rsidRPr="00AB3669" w:rsidR="00B22AEC">
        <w:t>all</w:t>
      </w:r>
      <w:r w:rsidRPr="00AB3669" w:rsidR="00AB3669">
        <w:t xml:space="preserve"> its </w:t>
      </w:r>
      <w:r w:rsidR="00C53EE4">
        <w:t xml:space="preserve">Ohio </w:t>
      </w:r>
      <w:r w:rsidRPr="00AB3669" w:rsidR="00AB3669">
        <w:t xml:space="preserve">assets. </w:t>
      </w:r>
      <w:r>
        <w:t xml:space="preserve">He bases that Complaint on the Board’s decision to close the Cincinnati </w:t>
      </w:r>
      <w:r w:rsidR="00C53EE4">
        <w:t xml:space="preserve">residential </w:t>
      </w:r>
      <w:r>
        <w:t xml:space="preserve">rabbinical program and on factually unsupported allegations that HUC (a) received donations because of the “permanent” Cincinnati campus, and (b) redirected those allegedly restricted assets outside of Cincinnati and Ohio. (Compl. ¶¶ 34, 39, 43–44.)  </w:t>
      </w:r>
      <w:r>
        <w:t xml:space="preserve">Relying upon his statutory and common law authority to regulate charitable trusts, the Attorney General alleges claims for Unjust Enrichment (Count One), Reformation of Charitable Trust (Count Two), Breach of Common Law Fiduciary Duties (Count Three), Breach of Statutory Fiduciary Duties (Count Four), and Abuse of Charitable Trust, R.C. 109.24 (Count Five). (Compl. ¶¶ 49–90.) </w:t>
      </w:r>
    </w:p>
    <w:p w:rsidR="00217004" w:rsidP="00217004" w14:paraId="581C5962" w14:textId="7ECF0EA7">
      <w:pPr>
        <w:pStyle w:val="BodyText"/>
      </w:pPr>
      <w:r>
        <w:t xml:space="preserve">The Complaint seeks broad </w:t>
      </w:r>
      <w:r>
        <w:t>relief</w:t>
      </w:r>
      <w:r>
        <w:t>:</w:t>
      </w:r>
      <w:r>
        <w:t xml:space="preserve"> an accounting; </w:t>
      </w:r>
      <w:r>
        <w:t xml:space="preserve">a </w:t>
      </w:r>
      <w:r>
        <w:t>declaration</w:t>
      </w:r>
      <w:r>
        <w:t xml:space="preserve"> allowing the AG to impose a </w:t>
      </w:r>
      <w:r>
        <w:t xml:space="preserve">constructive trust </w:t>
      </w:r>
      <w:r>
        <w:t xml:space="preserve">over </w:t>
      </w:r>
      <w:r>
        <w:t>HUC</w:t>
      </w:r>
      <w:r w:rsidR="0091003E">
        <w:t>’s</w:t>
      </w:r>
      <w:r>
        <w:t xml:space="preserve"> </w:t>
      </w:r>
      <w:r w:rsidR="0091003E">
        <w:t xml:space="preserve">Ohio-based assets </w:t>
      </w:r>
      <w:r>
        <w:t xml:space="preserve">to </w:t>
      </w:r>
      <w:r w:rsidR="0091003E">
        <w:t xml:space="preserve">be </w:t>
      </w:r>
      <w:r>
        <w:t>redistribu</w:t>
      </w:r>
      <w:r>
        <w:t>te</w:t>
      </w:r>
      <w:r w:rsidR="0091003E">
        <w:t>d</w:t>
      </w:r>
      <w:r>
        <w:t xml:space="preserve"> </w:t>
      </w:r>
      <w:r w:rsidR="0091003E">
        <w:t>by the AG in</w:t>
      </w:r>
      <w:r>
        <w:t xml:space="preserve"> support </w:t>
      </w:r>
      <w:r>
        <w:t>a permanent campus and school in the Cincinnati area for rabbi</w:t>
      </w:r>
      <w:r>
        <w:t>nical education</w:t>
      </w:r>
      <w:r>
        <w:t xml:space="preserve">; a permanent injunction </w:t>
      </w:r>
      <w:r>
        <w:t xml:space="preserve">restricting HUC from </w:t>
      </w:r>
      <w:r>
        <w:t xml:space="preserve">diverting assets </w:t>
      </w:r>
      <w:r>
        <w:t xml:space="preserve">and from selling </w:t>
      </w:r>
      <w:r>
        <w:t xml:space="preserve">the Cincinnati campus; imposition of a constructive trust; and compensatory damages/restitution </w:t>
      </w:r>
      <w:r>
        <w:t xml:space="preserve">(which </w:t>
      </w:r>
      <w:r>
        <w:t xml:space="preserve">the AG </w:t>
      </w:r>
      <w:r>
        <w:t xml:space="preserve">says he’ll distribute to </w:t>
      </w:r>
      <w:r>
        <w:t>support a permanent campus in the Cincinnati area</w:t>
      </w:r>
      <w:r>
        <w:t>)</w:t>
      </w:r>
      <w:r>
        <w:t>.  (Compl.</w:t>
      </w:r>
      <w:r w:rsidR="00B535FD">
        <w:t xml:space="preserve"> at</w:t>
      </w:r>
      <w:r>
        <w:t xml:space="preserve"> 14–15.) </w:t>
      </w:r>
    </w:p>
    <w:p w:rsidR="00356ED0" w:rsidRPr="00356ED0" w:rsidP="00356ED0" w14:paraId="66407A9E" w14:textId="77777777">
      <w:pPr>
        <w:pStyle w:val="Heading1"/>
      </w:pPr>
      <w:r w:rsidRPr="00356ED0">
        <w:t>LAW AND ARGUMENT</w:t>
      </w:r>
    </w:p>
    <w:p w:rsidR="00B535FD" w:rsidP="00B535FD" w14:paraId="6FCBE446" w14:textId="2D0E1A0A">
      <w:pPr>
        <w:pStyle w:val="BodyText"/>
      </w:pPr>
      <w:r>
        <w:t xml:space="preserve">Educating and training clergy is foundational to the Jewish religion. </w:t>
      </w:r>
      <w:r w:rsidR="00C53EE4">
        <w:t xml:space="preserve">But here, </w:t>
      </w:r>
      <w:r>
        <w:t xml:space="preserve">the AG seeks to take over a Jewish religious seminary, including its </w:t>
      </w:r>
      <w:r w:rsidR="00C53EE4">
        <w:t xml:space="preserve">Ohio </w:t>
      </w:r>
      <w:r>
        <w:t xml:space="preserve">assets. And he does so simply because HUC leadership responded to the realities </w:t>
      </w:r>
      <w:r w:rsidR="00C53EE4">
        <w:t xml:space="preserve">of </w:t>
      </w:r>
      <w:r>
        <w:t xml:space="preserve">Reform rabbinical education and Jewish population </w:t>
      </w:r>
      <w:r w:rsidR="0091003E">
        <w:t>trends</w:t>
      </w:r>
      <w:r>
        <w:t xml:space="preserve"> in the United States and exercised its fiduciary duty to amend the 1950 Consolidation Agreement. That decision was for HUC to make, not the government.  The AG’s prayer for relief violates the First Amendment by entangling government and religion.  For that reason alone, the Free Exercise of Religion and Establishment Clauses of the United States and Ohio </w:t>
      </w:r>
      <w:r w:rsidR="005717DC">
        <w:t>Constitutions demand</w:t>
      </w:r>
      <w:r>
        <w:t xml:space="preserve"> that the Court dismiss the Complaint.  The </w:t>
      </w:r>
      <w:r>
        <w:rPr>
          <w:rFonts w:eastAsia="Calibri"/>
        </w:rPr>
        <w:t xml:space="preserve">Ecclesiastical Exemption Doctrine demands the same.  </w:t>
      </w:r>
      <w:r>
        <w:t xml:space="preserve">In addition to the constitutional grounds, the Complaint fails because HUC complied with its fiduciary obligations by amending the 1950 Consolidation Agreement to make the changes it deemed necessary to the Cincinnati rabbinical program. </w:t>
      </w:r>
    </w:p>
    <w:p w:rsidR="00356ED0" w:rsidRPr="00356ED0" w:rsidP="00356ED0" w14:paraId="52ACF4A9" w14:textId="58B1FC76">
      <w:pPr>
        <w:pStyle w:val="Heading2"/>
      </w:pPr>
      <w:r w:rsidRPr="00356ED0">
        <w:t>Legal Standard</w:t>
      </w:r>
    </w:p>
    <w:p w:rsidR="00356ED0" w:rsidRPr="00356ED0" w:rsidP="00261F05" w14:paraId="5032DB80" w14:textId="7BB0AA0F">
      <w:pPr>
        <w:spacing w:after="0" w:line="480" w:lineRule="auto"/>
        <w:ind w:firstLine="720"/>
      </w:pPr>
      <w:r w:rsidRPr="00356ED0">
        <w:t xml:space="preserve">A Rule 12(B)(6) motion to dismiss for failure to state a claim “tests the sufficiency of the complaint.” </w:t>
      </w:r>
      <w:r w:rsidRPr="00356ED0">
        <w:rPr>
          <w:i/>
          <w:iCs/>
        </w:rPr>
        <w:t>State ex rel. Patterson v. Starn</w:t>
      </w:r>
      <w:r w:rsidRPr="00356ED0">
        <w:t xml:space="preserve">, 2026-Ohio-627, </w:t>
      </w:r>
      <w:r w:rsidRPr="00356ED0">
        <w:rPr>
          <w:rFonts w:ascii="Engravers MT" w:hAnsi="Engravers MT"/>
        </w:rPr>
        <w:t>¶</w:t>
      </w:r>
      <w:r w:rsidRPr="00356ED0">
        <w:t xml:space="preserve"> 10 (citation omitted). Because Ohio is a notice-pleading state, a party need not plead its claim with particularity. </w:t>
      </w:r>
      <w:r w:rsidRPr="00356ED0">
        <w:rPr>
          <w:i/>
          <w:iCs/>
        </w:rPr>
        <w:t>Maternal Grandmother v. Hamilton Cnty. Dep’t of Jobs and Fam. Servs.</w:t>
      </w:r>
      <w:r w:rsidRPr="00356ED0">
        <w:t xml:space="preserve">, 2021-Ohio-4096, ¶ 10. </w:t>
      </w:r>
      <w:r w:rsidR="001B0A89">
        <w:t>T</w:t>
      </w:r>
      <w:r w:rsidRPr="00356ED0">
        <w:t xml:space="preserve">his does not “eliminate the need for a properly researched and factually supported cause of </w:t>
      </w:r>
      <w:r w:rsidRPr="00356ED0" w:rsidR="005717DC">
        <w:t>action.</w:t>
      </w:r>
      <w:r w:rsidR="00C53EE4">
        <w:t>”</w:t>
      </w:r>
      <w:r w:rsidRPr="00356ED0">
        <w:t xml:space="preserve">  </w:t>
      </w:r>
      <w:r w:rsidRPr="00356ED0">
        <w:rPr>
          <w:i/>
          <w:iCs/>
        </w:rPr>
        <w:t>Tuleta v. Medical Mut. Of Ohio</w:t>
      </w:r>
      <w:r w:rsidRPr="00356ED0">
        <w:t xml:space="preserve">, 2014-Ohio-396, </w:t>
      </w:r>
      <w:r w:rsidRPr="00356ED0">
        <w:rPr>
          <w:rFonts w:ascii="Engravers MT" w:hAnsi="Engravers MT"/>
        </w:rPr>
        <w:t>¶</w:t>
      </w:r>
      <w:r w:rsidRPr="00356ED0">
        <w:t xml:space="preserve"> 28 (8th Dist.). Nor does it require the </w:t>
      </w:r>
      <w:r w:rsidR="00703013">
        <w:t>C</w:t>
      </w:r>
      <w:r w:rsidRPr="00356ED0">
        <w:t xml:space="preserve">ourt to accept the entirety of the Complaint as true. </w:t>
      </w:r>
      <w:r w:rsidRPr="00356ED0">
        <w:rPr>
          <w:i/>
          <w:iCs/>
        </w:rPr>
        <w:t>Jones v. Lucas Cty. Sherriff’s Med. Dept.</w:t>
      </w:r>
      <w:r w:rsidRPr="00356ED0">
        <w:t xml:space="preserve">, 2012-Ohio-1398, </w:t>
      </w:r>
      <w:r w:rsidRPr="00356ED0">
        <w:rPr>
          <w:rFonts w:ascii="Engravers MT" w:hAnsi="Engravers MT"/>
        </w:rPr>
        <w:t>¶</w:t>
      </w:r>
      <w:r w:rsidRPr="00356ED0">
        <w:t xml:space="preserve"> 12 (6th Dist.). Indeed, while the </w:t>
      </w:r>
      <w:r w:rsidR="00703013">
        <w:t>C</w:t>
      </w:r>
      <w:r w:rsidRPr="00356ED0">
        <w:t xml:space="preserve">ourt must “take the </w:t>
      </w:r>
      <w:r w:rsidRPr="00356ED0">
        <w:rPr>
          <w:i/>
          <w:iCs/>
        </w:rPr>
        <w:t xml:space="preserve">facts </w:t>
      </w:r>
      <w:r w:rsidRPr="00356ED0">
        <w:t xml:space="preserve">of the complaint as true and construe them in [plaintiff’s] favor . . .unsupported </w:t>
      </w:r>
      <w:r w:rsidRPr="00356ED0">
        <w:rPr>
          <w:i/>
          <w:iCs/>
        </w:rPr>
        <w:t>conclusions</w:t>
      </w:r>
      <w:r w:rsidRPr="00356ED0">
        <w:t xml:space="preserve"> . . . are not taken as admitted by a motion dismiss and are not sufficient to withstand such a motion.”  </w:t>
      </w:r>
      <w:r w:rsidRPr="00356ED0">
        <w:rPr>
          <w:i/>
          <w:iCs/>
        </w:rPr>
        <w:t>Mitchell v. Lawson Milk Co.</w:t>
      </w:r>
      <w:r w:rsidRPr="00356ED0">
        <w:t xml:space="preserve">, 40 Ohio St.3d 190, 193 (1988) (citation modified).  </w:t>
      </w:r>
    </w:p>
    <w:p w:rsidR="00B31B43" w:rsidP="00261F05" w14:paraId="6407C6F2" w14:textId="1ABF6CB5">
      <w:pPr>
        <w:spacing w:after="0" w:line="480" w:lineRule="auto"/>
        <w:ind w:firstLine="720"/>
        <w:rPr>
          <w:rFonts w:eastAsia="Times New Roman"/>
          <w:color w:val="000000"/>
        </w:rPr>
      </w:pPr>
      <w:r w:rsidRPr="00356ED0">
        <w:t>A court may also dismiss a claim for lack of subject</w:t>
      </w:r>
      <w:r w:rsidR="00A45D26">
        <w:t>-</w:t>
      </w:r>
      <w:r w:rsidRPr="00356ED0">
        <w:t xml:space="preserve">matter jurisdiction under Civ. R. 12(B)(1). Dismissal </w:t>
      </w:r>
      <w:r w:rsidRPr="00356ED0" w:rsidR="001B0A89">
        <w:t>under Civ. R. 12(B)(1)</w:t>
      </w:r>
      <w:r w:rsidR="001B0A89">
        <w:t xml:space="preserve"> </w:t>
      </w:r>
      <w:r w:rsidRPr="00356ED0">
        <w:t>is appropriate whe</w:t>
      </w:r>
      <w:r w:rsidR="00A45D26">
        <w:t>n</w:t>
      </w:r>
      <w:r w:rsidRPr="00356ED0">
        <w:t xml:space="preserve"> the plaintiff fails to allege a “cause of action cognizable by the forum.”  </w:t>
      </w:r>
      <w:r w:rsidRPr="00356ED0">
        <w:rPr>
          <w:i/>
          <w:iCs/>
        </w:rPr>
        <w:t>Ruehmer v. Queen City Lodge</w:t>
      </w:r>
      <w:r w:rsidRPr="00356ED0">
        <w:t xml:space="preserve">, 2021-Ohio-2904, </w:t>
      </w:r>
      <w:r w:rsidRPr="00356ED0">
        <w:rPr>
          <w:rFonts w:ascii="Engravers MT" w:hAnsi="Engravers MT"/>
        </w:rPr>
        <w:t>¶</w:t>
      </w:r>
      <w:r w:rsidRPr="00356ED0">
        <w:t xml:space="preserve"> 12 (1st Dist.). In making this determination, the </w:t>
      </w:r>
      <w:r w:rsidR="00A45D26">
        <w:t>C</w:t>
      </w:r>
      <w:r w:rsidRPr="00356ED0">
        <w:t xml:space="preserve">ourt “is not limited to the allegations of the complaint and may consider other pertinent material without converting the motion into a motion for summary judgment.”  </w:t>
      </w:r>
      <w:r w:rsidRPr="00356ED0">
        <w:rPr>
          <w:rFonts w:eastAsia="Times New Roman"/>
          <w:i/>
          <w:iCs/>
          <w:color w:val="000000"/>
        </w:rPr>
        <w:t>Doe v. Pontifical College Josephinum</w:t>
      </w:r>
      <w:r w:rsidRPr="00356ED0">
        <w:rPr>
          <w:rFonts w:eastAsia="Times New Roman"/>
          <w:color w:val="000000"/>
        </w:rPr>
        <w:t>, 2017-Ohio-1172, ¶ 8 (10th Dist.).</w:t>
      </w:r>
    </w:p>
    <w:p w:rsidR="00356ED0" w:rsidRPr="00356ED0" w:rsidP="00CB5321" w14:paraId="4A1B8AC0" w14:textId="3CBA09D6">
      <w:pPr>
        <w:pStyle w:val="BodyText"/>
      </w:pPr>
      <w:r>
        <w:t>Here, dismissal is warranted under Civ. R. 12(B)(</w:t>
      </w:r>
      <w:r w:rsidR="008A5F03">
        <w:t>1</w:t>
      </w:r>
      <w:r>
        <w:t>) under the Ecclesiastical Abstention Doctrine because this case strikes at the heart of the Jewish religion. Dismissal is also appropriate under Civ. R. 12(B)(</w:t>
      </w:r>
      <w:r w:rsidR="008A5F03">
        <w:t>6</w:t>
      </w:r>
      <w:r>
        <w:t xml:space="preserve">) for failure to state a claim based on the U.S. and Ohio </w:t>
      </w:r>
      <w:r w:rsidR="00D1721C">
        <w:t>C</w:t>
      </w:r>
      <w:r>
        <w:t>onstitutions and because the complained</w:t>
      </w:r>
      <w:r w:rsidR="00451B29">
        <w:t>-</w:t>
      </w:r>
      <w:r>
        <w:t>of actions herein were authorized by law.</w:t>
      </w:r>
      <w:r w:rsidRPr="00356ED0">
        <w:t xml:space="preserve"> </w:t>
      </w:r>
    </w:p>
    <w:p w:rsidR="00356ED0" w:rsidRPr="00356ED0" w:rsidP="00356ED0" w14:paraId="1DA6CC02" w14:textId="4818256B">
      <w:pPr>
        <w:pStyle w:val="Heading2"/>
      </w:pPr>
      <w:r w:rsidRPr="00356ED0">
        <w:t xml:space="preserve">The </w:t>
      </w:r>
      <w:r w:rsidR="00B31B43">
        <w:t>Complaint V</w:t>
      </w:r>
      <w:r w:rsidRPr="00356ED0">
        <w:t xml:space="preserve">iolates </w:t>
      </w:r>
      <w:r w:rsidR="00B31B43">
        <w:t>R</w:t>
      </w:r>
      <w:r w:rsidRPr="00356ED0">
        <w:t xml:space="preserve">eligious </w:t>
      </w:r>
      <w:r w:rsidR="00B31B43">
        <w:t>F</w:t>
      </w:r>
      <w:r w:rsidRPr="00356ED0">
        <w:t xml:space="preserve">reedom </w:t>
      </w:r>
      <w:r w:rsidR="00B31B43">
        <w:t>G</w:t>
      </w:r>
      <w:r w:rsidRPr="00356ED0">
        <w:t>uarantees in the United States and Ohio Constitutions.</w:t>
      </w:r>
    </w:p>
    <w:p w:rsidR="00356ED0" w:rsidRPr="00356ED0" w:rsidP="00356ED0" w14:paraId="22ED1D8E" w14:textId="6D1D734A">
      <w:pPr>
        <w:spacing w:after="0" w:line="480" w:lineRule="auto"/>
        <w:ind w:firstLine="720"/>
        <w:contextualSpacing/>
        <w:rPr>
          <w:rFonts w:eastAsia="Calibri"/>
        </w:rPr>
      </w:pPr>
      <w:r w:rsidRPr="00CB5321">
        <w:rPr>
          <w:rFonts w:eastAsia="Calibri"/>
        </w:rPr>
        <w:t>Whether intentionally or not, the AG’s Complaint is an attack on religious freedom.</w:t>
      </w:r>
      <w:r>
        <w:rPr>
          <w:rFonts w:eastAsia="Calibri"/>
        </w:rPr>
        <w:t xml:space="preserve">  </w:t>
      </w:r>
      <w:r w:rsidRPr="00356ED0">
        <w:rPr>
          <w:rFonts w:eastAsia="Calibri"/>
        </w:rPr>
        <w:t xml:space="preserve">The Attorney General brings this </w:t>
      </w:r>
      <w:r w:rsidR="008A5F03">
        <w:rPr>
          <w:rFonts w:eastAsia="Calibri"/>
        </w:rPr>
        <w:t>a</w:t>
      </w:r>
      <w:r w:rsidRPr="00356ED0">
        <w:rPr>
          <w:rFonts w:eastAsia="Calibri"/>
        </w:rPr>
        <w:t xml:space="preserve">ction under his authority to oversee Ohio’s charitable trusts and charitable organizations. </w:t>
      </w:r>
      <w:r w:rsidR="00B535FD">
        <w:rPr>
          <w:rFonts w:eastAsia="Calibri"/>
        </w:rPr>
        <w:t>(</w:t>
      </w:r>
      <w:r w:rsidRPr="00356ED0">
        <w:rPr>
          <w:rFonts w:eastAsia="Calibri"/>
        </w:rPr>
        <w:t xml:space="preserve">Compl. </w:t>
      </w:r>
      <w:r w:rsidRPr="00356ED0">
        <w:rPr>
          <w:rFonts w:ascii="Engravers MT" w:eastAsia="Calibri" w:hAnsi="Engravers MT"/>
        </w:rPr>
        <w:t>¶</w:t>
      </w:r>
      <w:r w:rsidRPr="00356ED0">
        <w:rPr>
          <w:rFonts w:eastAsia="Calibri"/>
        </w:rPr>
        <w:t xml:space="preserve"> 8.</w:t>
      </w:r>
      <w:r w:rsidR="00B535FD">
        <w:rPr>
          <w:rFonts w:eastAsia="Calibri"/>
        </w:rPr>
        <w:t>)</w:t>
      </w:r>
      <w:r w:rsidRPr="00356ED0">
        <w:rPr>
          <w:rFonts w:eastAsia="Calibri"/>
        </w:rPr>
        <w:t xml:space="preserve"> </w:t>
      </w:r>
      <w:r w:rsidR="001B0A89">
        <w:rPr>
          <w:rFonts w:eastAsia="Calibri"/>
        </w:rPr>
        <w:t>However,</w:t>
      </w:r>
      <w:r w:rsidRPr="00356ED0" w:rsidR="001B0A89">
        <w:rPr>
          <w:rFonts w:eastAsia="Calibri"/>
        </w:rPr>
        <w:t xml:space="preserve"> </w:t>
      </w:r>
      <w:r w:rsidRPr="00356ED0">
        <w:rPr>
          <w:rFonts w:eastAsia="Calibri"/>
        </w:rPr>
        <w:t xml:space="preserve">that supervisory power cannot override the protections </w:t>
      </w:r>
      <w:r w:rsidR="007F5AC2">
        <w:rPr>
          <w:rFonts w:eastAsia="Calibri"/>
        </w:rPr>
        <w:t xml:space="preserve">that </w:t>
      </w:r>
      <w:r w:rsidRPr="00356ED0" w:rsidR="00D123B7">
        <w:rPr>
          <w:rFonts w:eastAsia="Calibri"/>
        </w:rPr>
        <w:t xml:space="preserve">the First Amendment of the United States Constitution and Article I, Section 8 of the Ohio Constitution </w:t>
      </w:r>
      <w:r w:rsidR="00D123B7">
        <w:rPr>
          <w:rFonts w:eastAsia="Calibri"/>
        </w:rPr>
        <w:t xml:space="preserve">both afford </w:t>
      </w:r>
      <w:r w:rsidRPr="00356ED0">
        <w:rPr>
          <w:rFonts w:eastAsia="Calibri"/>
        </w:rPr>
        <w:t xml:space="preserve">religious organizations like HUC. These provisions shield religious institutions from </w:t>
      </w:r>
      <w:r w:rsidR="006602B7">
        <w:rPr>
          <w:rFonts w:eastAsia="Calibri"/>
        </w:rPr>
        <w:t xml:space="preserve">State </w:t>
      </w:r>
      <w:r w:rsidRPr="00356ED0">
        <w:rPr>
          <w:rFonts w:eastAsia="Calibri"/>
        </w:rPr>
        <w:t xml:space="preserve">interference with core decisions </w:t>
      </w:r>
      <w:r w:rsidR="006602B7">
        <w:rPr>
          <w:rFonts w:eastAsia="Calibri"/>
        </w:rPr>
        <w:t>about</w:t>
      </w:r>
      <w:r w:rsidRPr="00356ED0" w:rsidR="006602B7">
        <w:rPr>
          <w:rFonts w:eastAsia="Calibri"/>
        </w:rPr>
        <w:t xml:space="preserve"> </w:t>
      </w:r>
      <w:r w:rsidRPr="00356ED0">
        <w:rPr>
          <w:rFonts w:eastAsia="Calibri"/>
        </w:rPr>
        <w:t xml:space="preserve">religious governance. </w:t>
      </w:r>
      <w:r w:rsidR="001B0A89">
        <w:rPr>
          <w:rFonts w:eastAsia="Calibri"/>
        </w:rPr>
        <w:t>Despite this,</w:t>
      </w:r>
      <w:r w:rsidRPr="00356ED0" w:rsidR="001B0A89">
        <w:rPr>
          <w:rFonts w:eastAsia="Calibri"/>
        </w:rPr>
        <w:t xml:space="preserve"> </w:t>
      </w:r>
      <w:r w:rsidRPr="00356ED0">
        <w:rPr>
          <w:rFonts w:eastAsia="Calibri"/>
        </w:rPr>
        <w:t>the Attorney General seeks to interfere with HUC</w:t>
      </w:r>
      <w:r w:rsidR="00D1721C">
        <w:rPr>
          <w:rFonts w:eastAsia="Calibri"/>
        </w:rPr>
        <w:t xml:space="preserve">’s </w:t>
      </w:r>
      <w:r w:rsidRPr="00356ED0">
        <w:rPr>
          <w:rFonts w:eastAsia="Calibri"/>
        </w:rPr>
        <w:t>religious freedom in that exact way.</w:t>
      </w:r>
    </w:p>
    <w:p w:rsidR="00356ED0" w:rsidRPr="00356ED0" w:rsidP="00356ED0" w14:paraId="7D93863B" w14:textId="1301FA54">
      <w:pPr>
        <w:spacing w:after="0" w:line="480" w:lineRule="auto"/>
        <w:ind w:firstLine="720"/>
        <w:contextualSpacing/>
        <w:rPr>
          <w:rFonts w:eastAsia="Times New Roman"/>
        </w:rPr>
      </w:pPr>
      <w:r w:rsidRPr="00356ED0">
        <w:rPr>
          <w:rFonts w:eastAsia="Times New Roman"/>
          <w:color w:val="000000"/>
        </w:rPr>
        <w:t xml:space="preserve">As demonstrated below, the </w:t>
      </w:r>
      <w:r w:rsidR="00C72E6E">
        <w:rPr>
          <w:rFonts w:eastAsia="Times New Roman"/>
          <w:color w:val="000000"/>
        </w:rPr>
        <w:t>Complaint</w:t>
      </w:r>
      <w:r w:rsidRPr="00356ED0">
        <w:rPr>
          <w:rFonts w:eastAsia="Times New Roman"/>
          <w:color w:val="000000"/>
        </w:rPr>
        <w:t xml:space="preserve"> fails on three independent constitutional grounds: </w:t>
      </w:r>
      <w:r w:rsidRPr="00356ED0">
        <w:rPr>
          <w:rFonts w:eastAsia="Times New Roman"/>
          <w:b/>
          <w:bCs/>
          <w:i/>
          <w:iCs/>
          <w:color w:val="000000"/>
        </w:rPr>
        <w:t>first</w:t>
      </w:r>
      <w:r w:rsidRPr="00356ED0">
        <w:rPr>
          <w:rFonts w:eastAsia="Times New Roman"/>
          <w:color w:val="000000"/>
        </w:rPr>
        <w:t>, the Ecclesiastical Abstention Doctrine divests this Court of subject</w:t>
      </w:r>
      <w:r w:rsidR="000F799D">
        <w:rPr>
          <w:rFonts w:eastAsia="Times New Roman"/>
          <w:color w:val="000000"/>
        </w:rPr>
        <w:t>-</w:t>
      </w:r>
      <w:r w:rsidRPr="00356ED0">
        <w:rPr>
          <w:rFonts w:eastAsia="Times New Roman"/>
          <w:color w:val="000000"/>
        </w:rPr>
        <w:t xml:space="preserve">matter jurisdiction because the </w:t>
      </w:r>
      <w:r w:rsidR="00C72E6E">
        <w:rPr>
          <w:rFonts w:eastAsia="Times New Roman"/>
          <w:color w:val="000000"/>
        </w:rPr>
        <w:t>Complaint</w:t>
      </w:r>
      <w:r w:rsidRPr="00356ED0" w:rsidR="00C72E6E">
        <w:rPr>
          <w:rFonts w:eastAsia="Times New Roman"/>
          <w:color w:val="000000"/>
        </w:rPr>
        <w:t xml:space="preserve"> </w:t>
      </w:r>
      <w:r w:rsidR="000F799D">
        <w:rPr>
          <w:rFonts w:eastAsia="Times New Roman"/>
          <w:color w:val="000000"/>
        </w:rPr>
        <w:t xml:space="preserve">centers on </w:t>
      </w:r>
      <w:r w:rsidRPr="00356ED0">
        <w:rPr>
          <w:rFonts w:eastAsia="Times New Roman"/>
          <w:color w:val="000000"/>
        </w:rPr>
        <w:t xml:space="preserve">purely ecclesiastical </w:t>
      </w:r>
      <w:r w:rsidR="00C72E6E">
        <w:rPr>
          <w:rFonts w:eastAsia="Times New Roman"/>
          <w:color w:val="000000"/>
        </w:rPr>
        <w:t xml:space="preserve">issues </w:t>
      </w:r>
      <w:r w:rsidR="000F799D">
        <w:rPr>
          <w:rFonts w:eastAsia="Times New Roman"/>
          <w:color w:val="000000"/>
        </w:rPr>
        <w:t xml:space="preserve">about </w:t>
      </w:r>
      <w:r w:rsidRPr="00356ED0">
        <w:rPr>
          <w:rFonts w:eastAsia="Times New Roman"/>
          <w:color w:val="000000"/>
        </w:rPr>
        <w:t xml:space="preserve">where and how to train rabbinical candidates; </w:t>
      </w:r>
      <w:r w:rsidRPr="00356ED0">
        <w:rPr>
          <w:rFonts w:eastAsia="Times New Roman"/>
          <w:b/>
          <w:bCs/>
          <w:i/>
          <w:iCs/>
          <w:color w:val="000000"/>
        </w:rPr>
        <w:t>second</w:t>
      </w:r>
      <w:r w:rsidRPr="00356ED0">
        <w:rPr>
          <w:rFonts w:eastAsia="Times New Roman"/>
          <w:color w:val="000000"/>
        </w:rPr>
        <w:t xml:space="preserve">, the </w:t>
      </w:r>
      <w:r w:rsidR="00C72E6E">
        <w:rPr>
          <w:rFonts w:eastAsia="Times New Roman"/>
          <w:color w:val="000000"/>
        </w:rPr>
        <w:t>Complaint</w:t>
      </w:r>
      <w:r w:rsidRPr="00356ED0" w:rsidR="00C72E6E">
        <w:rPr>
          <w:rFonts w:eastAsia="Times New Roman"/>
          <w:color w:val="000000"/>
        </w:rPr>
        <w:t xml:space="preserve"> </w:t>
      </w:r>
      <w:r w:rsidRPr="00356ED0">
        <w:rPr>
          <w:rFonts w:eastAsia="Times New Roman"/>
          <w:color w:val="000000"/>
        </w:rPr>
        <w:t xml:space="preserve">violates the </w:t>
      </w:r>
      <w:r w:rsidR="00D1721C">
        <w:rPr>
          <w:rFonts w:eastAsia="Times New Roman"/>
          <w:color w:val="000000"/>
        </w:rPr>
        <w:t>F</w:t>
      </w:r>
      <w:r w:rsidRPr="00356ED0">
        <w:rPr>
          <w:rFonts w:eastAsia="Times New Roman"/>
          <w:color w:val="000000"/>
        </w:rPr>
        <w:t xml:space="preserve">ree </w:t>
      </w:r>
      <w:r w:rsidR="00D1721C">
        <w:rPr>
          <w:rFonts w:eastAsia="Times New Roman"/>
          <w:color w:val="000000"/>
        </w:rPr>
        <w:t>E</w:t>
      </w:r>
      <w:r w:rsidRPr="00356ED0">
        <w:rPr>
          <w:rFonts w:eastAsia="Times New Roman"/>
          <w:color w:val="000000"/>
        </w:rPr>
        <w:t xml:space="preserve">xercise </w:t>
      </w:r>
      <w:r w:rsidR="00D1721C">
        <w:rPr>
          <w:rFonts w:eastAsia="Times New Roman"/>
          <w:color w:val="000000"/>
        </w:rPr>
        <w:t>C</w:t>
      </w:r>
      <w:r w:rsidRPr="00356ED0">
        <w:rPr>
          <w:rFonts w:eastAsia="Times New Roman"/>
          <w:color w:val="000000"/>
        </w:rPr>
        <w:t xml:space="preserve">lause by coercing a religious institution’s exercise of a central tenet of its faith; and </w:t>
      </w:r>
      <w:r w:rsidRPr="00356ED0">
        <w:rPr>
          <w:rFonts w:eastAsia="Times New Roman"/>
          <w:b/>
          <w:bCs/>
          <w:i/>
          <w:iCs/>
          <w:color w:val="000000"/>
        </w:rPr>
        <w:t>third</w:t>
      </w:r>
      <w:r w:rsidRPr="00356ED0">
        <w:rPr>
          <w:rFonts w:eastAsia="Times New Roman"/>
          <w:color w:val="000000"/>
        </w:rPr>
        <w:t xml:space="preserve">, the </w:t>
      </w:r>
      <w:r w:rsidR="00C72E6E">
        <w:rPr>
          <w:rFonts w:eastAsia="Times New Roman"/>
          <w:color w:val="000000"/>
        </w:rPr>
        <w:t>Complaint</w:t>
      </w:r>
      <w:r w:rsidRPr="00356ED0" w:rsidR="00C72E6E">
        <w:rPr>
          <w:rFonts w:eastAsia="Times New Roman"/>
          <w:color w:val="000000"/>
        </w:rPr>
        <w:t xml:space="preserve"> </w:t>
      </w:r>
      <w:r w:rsidRPr="00356ED0">
        <w:rPr>
          <w:rFonts w:eastAsia="Times New Roman"/>
          <w:color w:val="000000"/>
        </w:rPr>
        <w:t xml:space="preserve">violates the </w:t>
      </w:r>
      <w:r w:rsidR="00D1721C">
        <w:rPr>
          <w:rFonts w:eastAsia="Times New Roman"/>
          <w:color w:val="000000"/>
        </w:rPr>
        <w:t>E</w:t>
      </w:r>
      <w:r w:rsidRPr="00356ED0">
        <w:rPr>
          <w:rFonts w:eastAsia="Times New Roman"/>
          <w:color w:val="000000"/>
        </w:rPr>
        <w:t xml:space="preserve">stablishment </w:t>
      </w:r>
      <w:r w:rsidR="00D1721C">
        <w:rPr>
          <w:rFonts w:eastAsia="Times New Roman"/>
          <w:color w:val="000000"/>
        </w:rPr>
        <w:t>C</w:t>
      </w:r>
      <w:r w:rsidRPr="00356ED0">
        <w:rPr>
          <w:rFonts w:eastAsia="Times New Roman"/>
          <w:color w:val="000000"/>
        </w:rPr>
        <w:t xml:space="preserve">lause by excessively entangling </w:t>
      </w:r>
      <w:r w:rsidR="001A18A7">
        <w:rPr>
          <w:rFonts w:eastAsia="Times New Roman"/>
          <w:color w:val="000000"/>
        </w:rPr>
        <w:t xml:space="preserve">the government </w:t>
      </w:r>
      <w:r w:rsidR="00EB2888">
        <w:rPr>
          <w:rFonts w:eastAsia="Times New Roman"/>
          <w:color w:val="000000"/>
        </w:rPr>
        <w:t xml:space="preserve">and HUC’s </w:t>
      </w:r>
      <w:r w:rsidRPr="00356ED0">
        <w:rPr>
          <w:rFonts w:eastAsia="Times New Roman"/>
          <w:color w:val="000000"/>
        </w:rPr>
        <w:t>religious affairs. Each of these doctrines independently requires dismissal.</w:t>
      </w:r>
    </w:p>
    <w:p w:rsidR="00356ED0" w:rsidRPr="00356ED0" w:rsidP="00BC0200" w14:paraId="1F9187BC" w14:textId="357DE746">
      <w:pPr>
        <w:keepNext/>
        <w:numPr>
          <w:ilvl w:val="2"/>
          <w:numId w:val="5"/>
        </w:numPr>
        <w:tabs>
          <w:tab w:val="num" w:pos="360"/>
        </w:tabs>
        <w:ind w:left="2160"/>
        <w:outlineLvl w:val="2"/>
        <w:rPr>
          <w:rFonts w:eastAsia="Calibri" w:cstheme="majorBidi"/>
          <w:b/>
          <w:bCs/>
          <w:kern w:val="2"/>
          <w14:ligatures w14:val="standardContextual"/>
        </w:rPr>
      </w:pPr>
      <w:r w:rsidRPr="008F37D5">
        <w:rPr>
          <w:rFonts w:eastAsia="Calibri" w:cstheme="majorBidi"/>
          <w:b/>
          <w:bCs/>
          <w:kern w:val="2"/>
          <w14:ligatures w14:val="standardContextual"/>
        </w:rPr>
        <w:t xml:space="preserve">The Ecclesiastical Abstention Doctrine </w:t>
      </w:r>
      <w:r w:rsidRPr="008F37D5" w:rsidR="00B31B43">
        <w:rPr>
          <w:rFonts w:eastAsia="Calibri" w:cstheme="majorBidi"/>
          <w:b/>
          <w:bCs/>
          <w:kern w:val="2"/>
          <w14:ligatures w14:val="standardContextual"/>
        </w:rPr>
        <w:t>D</w:t>
      </w:r>
      <w:r w:rsidRPr="008F37D5">
        <w:rPr>
          <w:rFonts w:eastAsia="Calibri" w:cstheme="majorBidi"/>
          <w:b/>
          <w:bCs/>
          <w:kern w:val="2"/>
          <w14:ligatures w14:val="standardContextual"/>
        </w:rPr>
        <w:t xml:space="preserve">eprives the Court of </w:t>
      </w:r>
      <w:r w:rsidRPr="008F37D5" w:rsidR="00B31B43">
        <w:rPr>
          <w:rFonts w:eastAsia="Calibri" w:cstheme="majorBidi"/>
          <w:b/>
          <w:bCs/>
          <w:kern w:val="2"/>
          <w14:ligatures w14:val="standardContextual"/>
        </w:rPr>
        <w:t>J</w:t>
      </w:r>
      <w:r w:rsidRPr="008F37D5">
        <w:rPr>
          <w:rFonts w:eastAsia="Calibri" w:cstheme="majorBidi"/>
          <w:b/>
          <w:bCs/>
          <w:kern w:val="2"/>
          <w14:ligatures w14:val="standardContextual"/>
        </w:rPr>
        <w:t xml:space="preserve">urisdiction </w:t>
      </w:r>
      <w:r w:rsidRPr="008F37D5" w:rsidR="00B31B43">
        <w:rPr>
          <w:rFonts w:eastAsia="Calibri" w:cstheme="majorBidi"/>
          <w:b/>
          <w:bCs/>
          <w:kern w:val="2"/>
          <w14:ligatures w14:val="standardContextual"/>
        </w:rPr>
        <w:t>B</w:t>
      </w:r>
      <w:r w:rsidRPr="008F37D5">
        <w:rPr>
          <w:rFonts w:eastAsia="Calibri" w:cstheme="majorBidi"/>
          <w:b/>
          <w:bCs/>
          <w:kern w:val="2"/>
          <w14:ligatures w14:val="standardContextual"/>
        </w:rPr>
        <w:t xml:space="preserve">ecause </w:t>
      </w:r>
      <w:r w:rsidRPr="008F37D5" w:rsidR="006F5B0D">
        <w:rPr>
          <w:rFonts w:eastAsia="Calibri" w:cstheme="majorBidi"/>
          <w:b/>
          <w:bCs/>
          <w:kern w:val="2"/>
          <w14:ligatures w14:val="standardContextual"/>
        </w:rPr>
        <w:t>HUC</w:t>
      </w:r>
      <w:r w:rsidR="00EB2888">
        <w:rPr>
          <w:rFonts w:eastAsia="Calibri" w:cstheme="majorBidi"/>
          <w:b/>
          <w:bCs/>
          <w:kern w:val="2"/>
          <w14:ligatures w14:val="standardContextual"/>
        </w:rPr>
        <w:t>’s</w:t>
      </w:r>
      <w:r w:rsidRPr="008F37D5" w:rsidR="006F5B0D">
        <w:rPr>
          <w:rFonts w:eastAsia="Calibri" w:cstheme="majorBidi"/>
          <w:b/>
          <w:bCs/>
          <w:kern w:val="2"/>
          <w14:ligatures w14:val="standardContextual"/>
        </w:rPr>
        <w:t xml:space="preserve"> </w:t>
      </w:r>
      <w:r w:rsidRPr="008F37D5" w:rsidR="00B31B43">
        <w:rPr>
          <w:rFonts w:eastAsia="Calibri" w:cstheme="majorBidi"/>
          <w:b/>
          <w:bCs/>
          <w:kern w:val="2"/>
          <w14:ligatures w14:val="standardContextual"/>
        </w:rPr>
        <w:t>D</w:t>
      </w:r>
      <w:r w:rsidRPr="008F37D5">
        <w:rPr>
          <w:rFonts w:eastAsia="Calibri" w:cstheme="majorBidi"/>
          <w:b/>
          <w:bCs/>
          <w:kern w:val="2"/>
          <w14:ligatures w14:val="standardContextual"/>
        </w:rPr>
        <w:t xml:space="preserve">ecision to </w:t>
      </w:r>
      <w:r w:rsidRPr="008F37D5" w:rsidR="006F5B0D">
        <w:rPr>
          <w:rFonts w:eastAsia="Calibri" w:cstheme="majorBidi"/>
          <w:b/>
          <w:bCs/>
          <w:kern w:val="2"/>
          <w14:ligatures w14:val="standardContextual"/>
        </w:rPr>
        <w:t>end the Cincinnati-Based Rabbinical Program was</w:t>
      </w:r>
      <w:r w:rsidRPr="008F37D5">
        <w:rPr>
          <w:rFonts w:eastAsia="Calibri" w:cstheme="majorBidi"/>
          <w:b/>
          <w:bCs/>
          <w:kern w:val="2"/>
          <w14:ligatures w14:val="standardContextual"/>
        </w:rPr>
        <w:t xml:space="preserve"> </w:t>
      </w:r>
      <w:r w:rsidRPr="008F37D5" w:rsidR="007C09AC">
        <w:rPr>
          <w:rFonts w:eastAsia="Calibri" w:cstheme="majorBidi"/>
          <w:b/>
          <w:bCs/>
          <w:kern w:val="2"/>
          <w14:ligatures w14:val="standardContextual"/>
        </w:rPr>
        <w:t xml:space="preserve">a </w:t>
      </w:r>
      <w:r w:rsidRPr="008F37D5" w:rsidR="00B31B43">
        <w:rPr>
          <w:rFonts w:eastAsia="Calibri" w:cstheme="majorBidi"/>
          <w:b/>
          <w:bCs/>
          <w:kern w:val="2"/>
          <w14:ligatures w14:val="standardContextual"/>
        </w:rPr>
        <w:t>M</w:t>
      </w:r>
      <w:r w:rsidRPr="008F37D5">
        <w:rPr>
          <w:rFonts w:eastAsia="Calibri" w:cstheme="majorBidi"/>
          <w:b/>
          <w:bCs/>
          <w:kern w:val="2"/>
          <w14:ligatures w14:val="standardContextual"/>
        </w:rPr>
        <w:t>atter</w:t>
      </w:r>
      <w:r w:rsidR="00BE297E">
        <w:rPr>
          <w:rFonts w:eastAsia="Calibri" w:cstheme="majorBidi"/>
          <w:b/>
          <w:bCs/>
          <w:kern w:val="2"/>
          <w14:ligatures w14:val="standardContextual"/>
        </w:rPr>
        <w:t xml:space="preserve"> of Religious Governance</w:t>
      </w:r>
      <w:r w:rsidRPr="00356ED0">
        <w:rPr>
          <w:rFonts w:eastAsia="Calibri" w:cstheme="majorBidi"/>
          <w:b/>
          <w:bCs/>
          <w:kern w:val="2"/>
          <w14:ligatures w14:val="standardContextual"/>
        </w:rPr>
        <w:t>.</w:t>
      </w:r>
    </w:p>
    <w:p w:rsidR="004609F1" w:rsidP="004609F1" w14:paraId="316D2007" w14:textId="1C155001">
      <w:pPr>
        <w:spacing w:after="0" w:line="480" w:lineRule="auto"/>
        <w:ind w:firstLine="720"/>
        <w:contextualSpacing/>
        <w:rPr>
          <w:rFonts w:eastAsia="Times New Roman"/>
          <w:color w:val="000000"/>
        </w:rPr>
      </w:pPr>
      <w:r>
        <w:rPr>
          <w:rFonts w:eastAsia="Times New Roman"/>
          <w:color w:val="000000"/>
        </w:rPr>
        <w:t>The Ecclesiastical Abstention Doctrine bars a court from adjudicating upon “decisions of the highest judicatories of a religious organization</w:t>
      </w:r>
      <w:r w:rsidR="00BE297E">
        <w:rPr>
          <w:rFonts w:eastAsia="Times New Roman"/>
          <w:color w:val="000000"/>
        </w:rPr>
        <w:t xml:space="preserve"> </w:t>
      </w:r>
      <w:r>
        <w:rPr>
          <w:rFonts w:eastAsia="Times New Roman"/>
          <w:color w:val="000000"/>
        </w:rPr>
        <w:t>…</w:t>
      </w:r>
      <w:r w:rsidR="00BE297E">
        <w:rPr>
          <w:rFonts w:eastAsia="Times New Roman"/>
          <w:color w:val="000000"/>
        </w:rPr>
        <w:t xml:space="preserve"> </w:t>
      </w:r>
      <w:r>
        <w:rPr>
          <w:rFonts w:eastAsia="Times New Roman"/>
          <w:color w:val="000000"/>
        </w:rPr>
        <w:t xml:space="preserve">on matters of discipline, faith, internal organization or ecclesiastical rule, custom, or law.” </w:t>
      </w:r>
      <w:r w:rsidRPr="004609F1">
        <w:rPr>
          <w:rFonts w:eastAsia="Times New Roman"/>
          <w:i/>
          <w:iCs/>
          <w:color w:val="000000"/>
        </w:rPr>
        <w:t>Adkison v. Williams</w:t>
      </w:r>
      <w:r w:rsidRPr="004609F1">
        <w:rPr>
          <w:rFonts w:eastAsia="Times New Roman"/>
          <w:color w:val="000000"/>
        </w:rPr>
        <w:t xml:space="preserve">, 2019-Ohio-4289, ¶ 17 (5th Dist.) (alteration in original) (quoting </w:t>
      </w:r>
      <w:r w:rsidRPr="004609F1">
        <w:rPr>
          <w:rFonts w:eastAsia="Times New Roman"/>
          <w:i/>
          <w:iCs/>
          <w:color w:val="000000"/>
        </w:rPr>
        <w:t>Serbian E. Orthodox Diocese for the United States &amp; Canada v. Milivojevich</w:t>
      </w:r>
      <w:r w:rsidRPr="004609F1">
        <w:rPr>
          <w:rFonts w:eastAsia="Times New Roman"/>
          <w:color w:val="000000"/>
        </w:rPr>
        <w:t>, 426 U.S. 696, 713 (1976));</w:t>
      </w:r>
      <w:r>
        <w:rPr>
          <w:rFonts w:eastAsia="Times New Roman"/>
          <w:color w:val="000000"/>
        </w:rPr>
        <w:t xml:space="preserve"> </w:t>
      </w:r>
      <w:r w:rsidRPr="004609F1">
        <w:rPr>
          <w:rFonts w:eastAsia="Times New Roman"/>
          <w:i/>
          <w:iCs/>
          <w:color w:val="000000"/>
        </w:rPr>
        <w:t>see also Doe</w:t>
      </w:r>
      <w:r w:rsidRPr="004609F1">
        <w:rPr>
          <w:rFonts w:eastAsia="Times New Roman"/>
          <w:color w:val="000000"/>
        </w:rPr>
        <w:t xml:space="preserve">, 2017-Ohio-1172, </w:t>
      </w:r>
      <w:r w:rsidR="008B3291">
        <w:rPr>
          <w:rFonts w:eastAsia="Times New Roman"/>
          <w:color w:val="000000"/>
        </w:rPr>
        <w:t xml:space="preserve">at </w:t>
      </w:r>
      <w:r w:rsidRPr="004609F1">
        <w:rPr>
          <w:rFonts w:eastAsia="Times New Roman"/>
          <w:color w:val="000000"/>
        </w:rPr>
        <w:t>¶ 9 (10th Dist.).</w:t>
      </w:r>
      <w:r>
        <w:rPr>
          <w:rFonts w:eastAsia="Times New Roman"/>
          <w:color w:val="000000"/>
        </w:rPr>
        <w:t xml:space="preserve"> </w:t>
      </w:r>
      <w:r w:rsidRPr="00356ED0" w:rsidR="00356ED0">
        <w:rPr>
          <w:rFonts w:eastAsia="Times New Roman"/>
          <w:color w:val="000000"/>
        </w:rPr>
        <w:t>When a court must consider questions of religious doctrine to resolve a dispute, the Ecclesiastical Abstention Doctrine deprives the court of subject</w:t>
      </w:r>
      <w:r w:rsidR="00B6474B">
        <w:rPr>
          <w:rFonts w:eastAsia="Times New Roman"/>
          <w:color w:val="000000"/>
        </w:rPr>
        <w:t>-</w:t>
      </w:r>
      <w:r w:rsidRPr="00356ED0" w:rsidR="00356ED0">
        <w:rPr>
          <w:rFonts w:eastAsia="Times New Roman"/>
          <w:color w:val="000000"/>
        </w:rPr>
        <w:t xml:space="preserve">matter jurisdiction over the </w:t>
      </w:r>
      <w:r w:rsidR="007C09AC">
        <w:rPr>
          <w:rFonts w:eastAsia="Times New Roman"/>
          <w:color w:val="000000"/>
        </w:rPr>
        <w:t>a</w:t>
      </w:r>
      <w:r w:rsidRPr="00356ED0" w:rsidR="00356ED0">
        <w:rPr>
          <w:rFonts w:eastAsia="Times New Roman"/>
          <w:color w:val="000000"/>
        </w:rPr>
        <w:t xml:space="preserve">ction.  </w:t>
      </w:r>
      <w:r w:rsidRPr="00356ED0" w:rsidR="00356ED0">
        <w:rPr>
          <w:rFonts w:eastAsia="Times New Roman"/>
          <w:i/>
          <w:iCs/>
          <w:color w:val="000000"/>
        </w:rPr>
        <w:t>Harrison v. Bishop</w:t>
      </w:r>
      <w:r w:rsidRPr="00356ED0" w:rsidR="00356ED0">
        <w:rPr>
          <w:rFonts w:eastAsia="Times New Roman"/>
          <w:color w:val="000000"/>
        </w:rPr>
        <w:t xml:space="preserve">, 2015-Ohio-5308, 44 N.E.3d 350, ¶ 19 (6th Dist.) (describing the doctrine as “well-established” (quoting </w:t>
      </w:r>
      <w:r w:rsidRPr="00356ED0" w:rsidR="00356ED0">
        <w:rPr>
          <w:rFonts w:eastAsia="Times New Roman"/>
          <w:i/>
          <w:iCs/>
          <w:color w:val="000000"/>
        </w:rPr>
        <w:t>Tibbs v. Kendrick</w:t>
      </w:r>
      <w:r w:rsidRPr="00356ED0" w:rsidR="00356ED0">
        <w:rPr>
          <w:rFonts w:eastAsia="Times New Roman"/>
          <w:color w:val="000000"/>
        </w:rPr>
        <w:t xml:space="preserve">, 93 Ohio App.3d 35, 41 (8th Dist. 1994)) (citation modified)). </w:t>
      </w:r>
    </w:p>
    <w:p w:rsidR="00356ED0" w:rsidP="004609F1" w14:paraId="2D110C58" w14:textId="7EDCD7B2">
      <w:pPr>
        <w:spacing w:after="0" w:line="480" w:lineRule="auto"/>
        <w:ind w:firstLine="720"/>
        <w:contextualSpacing/>
        <w:rPr>
          <w:rFonts w:eastAsia="Times New Roman"/>
          <w:color w:val="000000"/>
        </w:rPr>
      </w:pPr>
      <w:r w:rsidRPr="00356ED0">
        <w:rPr>
          <w:rFonts w:eastAsia="Times New Roman"/>
          <w:color w:val="000000"/>
        </w:rPr>
        <w:t xml:space="preserve">The doctrine is rooted in the First Amendment’s </w:t>
      </w:r>
      <w:r w:rsidRPr="00356ED0" w:rsidR="006948AE">
        <w:rPr>
          <w:rFonts w:eastAsia="Times New Roman"/>
          <w:color w:val="000000"/>
        </w:rPr>
        <w:t>religious</w:t>
      </w:r>
      <w:r w:rsidR="006948AE">
        <w:rPr>
          <w:rFonts w:eastAsia="Times New Roman"/>
          <w:color w:val="000000"/>
        </w:rPr>
        <w:t xml:space="preserve"> freedom</w:t>
      </w:r>
      <w:r w:rsidRPr="00356ED0">
        <w:rPr>
          <w:rFonts w:eastAsia="Times New Roman"/>
          <w:color w:val="000000"/>
        </w:rPr>
        <w:t xml:space="preserve"> guarantees. </w:t>
      </w:r>
      <w:r w:rsidRPr="00356ED0">
        <w:rPr>
          <w:rFonts w:eastAsia="Times New Roman"/>
          <w:i/>
          <w:iCs/>
          <w:color w:val="000000"/>
        </w:rPr>
        <w:t>Doe</w:t>
      </w:r>
      <w:r w:rsidRPr="00356ED0">
        <w:rPr>
          <w:rFonts w:eastAsia="Times New Roman"/>
          <w:color w:val="000000"/>
        </w:rPr>
        <w:t xml:space="preserve">, 2017-Ohio-1172, </w:t>
      </w:r>
      <w:r w:rsidR="008B3291">
        <w:rPr>
          <w:rFonts w:eastAsia="Times New Roman"/>
          <w:color w:val="000000"/>
        </w:rPr>
        <w:t xml:space="preserve">at </w:t>
      </w:r>
      <w:r w:rsidRPr="00356ED0">
        <w:rPr>
          <w:rFonts w:eastAsia="Times New Roman"/>
          <w:color w:val="000000"/>
        </w:rPr>
        <w:t xml:space="preserve">¶ 9 (10th Dist.). At its core, </w:t>
      </w:r>
      <w:r w:rsidR="007C09AC">
        <w:rPr>
          <w:rFonts w:eastAsia="Times New Roman"/>
          <w:color w:val="000000"/>
        </w:rPr>
        <w:t>the Doctrine</w:t>
      </w:r>
      <w:r w:rsidRPr="00356ED0">
        <w:rPr>
          <w:rFonts w:eastAsia="Times New Roman"/>
          <w:color w:val="000000"/>
        </w:rPr>
        <w:t xml:space="preserve"> “radiates . . . a spirit of freedom for religious organizations, an independence from secular control or manipulation, in short, power to decide for themselves, free from state interference, matters of church government as well as those of faith and doctrine.” </w:t>
      </w:r>
      <w:r w:rsidRPr="00356ED0">
        <w:rPr>
          <w:rFonts w:eastAsia="Times New Roman"/>
          <w:i/>
          <w:iCs/>
          <w:color w:val="000000"/>
        </w:rPr>
        <w:t>Kedroff v. St. Nicholas Cathedral of Russian Orthodox Church</w:t>
      </w:r>
      <w:r w:rsidRPr="00356ED0">
        <w:rPr>
          <w:rFonts w:eastAsia="Times New Roman"/>
          <w:color w:val="000000"/>
        </w:rPr>
        <w:t xml:space="preserve">, 344 U.S. 94, 116 (1952) (describing </w:t>
      </w:r>
      <w:r w:rsidRPr="00356ED0">
        <w:rPr>
          <w:rFonts w:eastAsia="Times New Roman"/>
          <w:i/>
          <w:iCs/>
          <w:color w:val="000000"/>
        </w:rPr>
        <w:t>Watson v. Jones</w:t>
      </w:r>
      <w:r w:rsidRPr="00356ED0">
        <w:rPr>
          <w:rFonts w:eastAsia="Times New Roman"/>
          <w:color w:val="000000"/>
        </w:rPr>
        <w:t xml:space="preserve">, 80 U.S. 679 (1872)). </w:t>
      </w:r>
    </w:p>
    <w:p w:rsidR="007C09AC" w:rsidRPr="00356ED0" w:rsidP="007C09AC" w14:paraId="40B8AFBA" w14:textId="4B54DA07">
      <w:pPr>
        <w:spacing w:after="0" w:line="480" w:lineRule="auto"/>
        <w:ind w:firstLine="720"/>
        <w:contextualSpacing/>
        <w:rPr>
          <w:rFonts w:eastAsia="Times New Roman"/>
          <w:i/>
          <w:iCs/>
          <w:color w:val="000000"/>
        </w:rPr>
      </w:pPr>
      <w:r>
        <w:rPr>
          <w:rFonts w:eastAsia="Times New Roman"/>
          <w:color w:val="000000"/>
        </w:rPr>
        <w:t>E</w:t>
      </w:r>
      <w:r w:rsidRPr="00356ED0">
        <w:rPr>
          <w:rFonts w:eastAsia="Times New Roman"/>
          <w:color w:val="000000"/>
        </w:rPr>
        <w:t xml:space="preserve">cclesiastical disputes arise in various contexts and include those involving a religious organization’s funds. </w:t>
      </w:r>
      <w:r w:rsidRPr="00356ED0">
        <w:rPr>
          <w:rFonts w:eastAsia="Times New Roman"/>
          <w:i/>
          <w:iCs/>
          <w:color w:val="000000"/>
        </w:rPr>
        <w:t>See Presbyterian Church in United States v. Mary Elizabeth Blue Hull Mem. Presbyterian Church</w:t>
      </w:r>
      <w:r w:rsidRPr="00356ED0">
        <w:rPr>
          <w:rFonts w:eastAsia="Times New Roman"/>
          <w:color w:val="000000"/>
        </w:rPr>
        <w:t xml:space="preserve">, 393 U.S. 440, 449 (1969) (“First Amendment values are plainly jeopardized when church property litigation is made to turn on the resolution by civil courts of controversies over religious doctrine and practice.”). For example, in </w:t>
      </w:r>
      <w:r w:rsidRPr="00356ED0">
        <w:rPr>
          <w:rFonts w:eastAsia="Times New Roman"/>
          <w:i/>
          <w:iCs/>
          <w:color w:val="000000"/>
        </w:rPr>
        <w:t>People ex rel. Deukmejian v. Worldwide Church of God</w:t>
      </w:r>
      <w:r w:rsidRPr="00356ED0">
        <w:rPr>
          <w:rFonts w:eastAsia="Times New Roman"/>
          <w:color w:val="000000"/>
        </w:rPr>
        <w:t xml:space="preserve">, the California </w:t>
      </w:r>
      <w:r w:rsidR="00243127">
        <w:rPr>
          <w:rFonts w:eastAsia="Times New Roman"/>
          <w:color w:val="000000"/>
        </w:rPr>
        <w:t>A</w:t>
      </w:r>
      <w:r w:rsidRPr="00356ED0">
        <w:rPr>
          <w:rFonts w:eastAsia="Times New Roman"/>
          <w:color w:val="000000"/>
        </w:rPr>
        <w:t xml:space="preserve">ttorney </w:t>
      </w:r>
      <w:r w:rsidR="00243127">
        <w:rPr>
          <w:rFonts w:eastAsia="Times New Roman"/>
          <w:color w:val="000000"/>
        </w:rPr>
        <w:t>G</w:t>
      </w:r>
      <w:r w:rsidRPr="00356ED0">
        <w:rPr>
          <w:rFonts w:eastAsia="Times New Roman"/>
          <w:color w:val="000000"/>
        </w:rPr>
        <w:t xml:space="preserve">eneral sought to appoint a receiver over a church, seize its records, and take control of its assets and operations. 127 Cal.App.3d 547, 551 (1981). While the attorney general’s “rather drastic action” was not directly before the court, the court noted that the </w:t>
      </w:r>
      <w:r>
        <w:rPr>
          <w:rFonts w:eastAsia="Times New Roman"/>
          <w:color w:val="000000"/>
        </w:rPr>
        <w:t>a</w:t>
      </w:r>
      <w:r w:rsidRPr="00356ED0">
        <w:rPr>
          <w:rFonts w:eastAsia="Times New Roman"/>
          <w:color w:val="000000"/>
        </w:rPr>
        <w:t xml:space="preserve">ction was “from the inception constitutionally infirm and predestined to failure.”  </w:t>
      </w:r>
      <w:r w:rsidRPr="00356ED0">
        <w:rPr>
          <w:rFonts w:eastAsia="Times New Roman"/>
          <w:i/>
          <w:iCs/>
          <w:color w:val="000000"/>
        </w:rPr>
        <w:t>Id.</w:t>
      </w:r>
      <w:r w:rsidRPr="00356ED0">
        <w:rPr>
          <w:rFonts w:eastAsia="Times New Roman"/>
          <w:color w:val="000000"/>
        </w:rPr>
        <w:t xml:space="preserve"> at 558.  Indeed, the court observed that the attorney general’s action was ecclesiastical in nature: “[h]ow the State, whether acting through the Attorney General or the courts, can control church property and the receipt and expenditure of church funds without necessarily becoming involved in the ecclesiastical functions of the church is difficult to conceive.”  </w:t>
      </w:r>
      <w:r w:rsidRPr="00356ED0">
        <w:rPr>
          <w:rFonts w:eastAsia="Times New Roman"/>
          <w:i/>
          <w:iCs/>
          <w:color w:val="000000"/>
        </w:rPr>
        <w:t>Id.</w:t>
      </w:r>
      <w:r w:rsidRPr="00356ED0">
        <w:rPr>
          <w:rFonts w:eastAsia="Times New Roman"/>
          <w:color w:val="000000"/>
        </w:rPr>
        <w:t xml:space="preserve"> at 551, 555–58. </w:t>
      </w:r>
    </w:p>
    <w:p w:rsidR="007C09AC" w:rsidRPr="00356ED0" w:rsidP="007C09AC" w14:paraId="083A46B9" w14:textId="311A70F2">
      <w:pPr>
        <w:spacing w:after="0" w:line="480" w:lineRule="auto"/>
        <w:ind w:firstLine="720"/>
        <w:contextualSpacing/>
        <w:rPr>
          <w:rFonts w:eastAsia="Times New Roman"/>
          <w:color w:val="000000"/>
        </w:rPr>
      </w:pPr>
      <w:r w:rsidRPr="00356ED0">
        <w:rPr>
          <w:rFonts w:eastAsia="Times New Roman"/>
          <w:color w:val="000000"/>
        </w:rPr>
        <w:t xml:space="preserve">Additionally, a dispute does not lose its ecclesiastical character merely because secular issues are woven into it. </w:t>
      </w:r>
      <w:r w:rsidRPr="00356ED0">
        <w:rPr>
          <w:rFonts w:eastAsia="Times New Roman"/>
          <w:i/>
          <w:iCs/>
          <w:color w:val="000000"/>
        </w:rPr>
        <w:t>See Doe</w:t>
      </w:r>
      <w:r w:rsidR="004132A1">
        <w:rPr>
          <w:rFonts w:eastAsia="Times New Roman"/>
          <w:i/>
          <w:iCs/>
          <w:color w:val="000000"/>
        </w:rPr>
        <w:t>,</w:t>
      </w:r>
      <w:r w:rsidRPr="00356ED0">
        <w:rPr>
          <w:rFonts w:eastAsia="Times New Roman"/>
          <w:i/>
          <w:iCs/>
          <w:color w:val="000000"/>
        </w:rPr>
        <w:t xml:space="preserve"> </w:t>
      </w:r>
      <w:r w:rsidRPr="00356ED0">
        <w:rPr>
          <w:rFonts w:eastAsia="Times New Roman"/>
          <w:color w:val="000000"/>
        </w:rPr>
        <w:t xml:space="preserve">2017-Ohio-1172, </w:t>
      </w:r>
      <w:r w:rsidR="008B3291">
        <w:rPr>
          <w:rFonts w:eastAsia="Times New Roman"/>
          <w:color w:val="000000"/>
        </w:rPr>
        <w:t xml:space="preserve">at </w:t>
      </w:r>
      <w:r w:rsidRPr="00356ED0">
        <w:rPr>
          <w:rFonts w:eastAsia="Times New Roman"/>
          <w:color w:val="000000"/>
        </w:rPr>
        <w:t xml:space="preserve">¶¶ 5, 13–18 (10th Dist.) (dismissing </w:t>
      </w:r>
      <w:r w:rsidRPr="00356ED0">
        <w:rPr>
          <w:rFonts w:eastAsiaTheme="minorHAnsi"/>
        </w:rPr>
        <w:t>expelled student’s contract claim because it was “inextricably entangled” with the college’s ecclesiastical</w:t>
      </w:r>
      <w:r w:rsidR="005E3663">
        <w:rPr>
          <w:rFonts w:eastAsiaTheme="minorHAnsi"/>
        </w:rPr>
        <w:t>-</w:t>
      </w:r>
      <w:r w:rsidRPr="00356ED0">
        <w:rPr>
          <w:rFonts w:eastAsiaTheme="minorHAnsi"/>
        </w:rPr>
        <w:t xml:space="preserve">disciplinary process); </w:t>
      </w:r>
      <w:r w:rsidRPr="00356ED0">
        <w:rPr>
          <w:rFonts w:eastAsiaTheme="minorHAnsi"/>
          <w:i/>
          <w:iCs/>
        </w:rPr>
        <w:t>Harrison v. Bishop,</w:t>
      </w:r>
      <w:r w:rsidRPr="00356ED0">
        <w:rPr>
          <w:rFonts w:eastAsiaTheme="minorHAnsi"/>
        </w:rPr>
        <w:t xml:space="preserve"> 2015-Ohio-5308, </w:t>
      </w:r>
      <w:r w:rsidRPr="00356ED0">
        <w:rPr>
          <w:rFonts w:eastAsia="Times New Roman"/>
          <w:color w:val="000000"/>
        </w:rPr>
        <w:t>¶ 44–46</w:t>
      </w:r>
      <w:r w:rsidRPr="00356ED0">
        <w:rPr>
          <w:rFonts w:eastAsiaTheme="minorHAnsi"/>
        </w:rPr>
        <w:t xml:space="preserve"> (6th Dist.) (dismissing breach</w:t>
      </w:r>
      <w:r w:rsidR="005E3663">
        <w:rPr>
          <w:rFonts w:eastAsiaTheme="minorHAnsi"/>
        </w:rPr>
        <w:t>-</w:t>
      </w:r>
      <w:r w:rsidRPr="00356ED0">
        <w:rPr>
          <w:rFonts w:eastAsiaTheme="minorHAnsi"/>
        </w:rPr>
        <w:t>of</w:t>
      </w:r>
      <w:r w:rsidR="005E3663">
        <w:rPr>
          <w:rFonts w:eastAsiaTheme="minorHAnsi"/>
        </w:rPr>
        <w:t>-</w:t>
      </w:r>
      <w:r w:rsidRPr="00356ED0">
        <w:rPr>
          <w:rFonts w:eastAsiaTheme="minorHAnsi"/>
        </w:rPr>
        <w:t>fiduciary</w:t>
      </w:r>
      <w:r w:rsidR="005E3663">
        <w:rPr>
          <w:rFonts w:eastAsiaTheme="minorHAnsi"/>
        </w:rPr>
        <w:t>-</w:t>
      </w:r>
      <w:r w:rsidRPr="00356ED0">
        <w:rPr>
          <w:rFonts w:eastAsiaTheme="minorHAnsi"/>
        </w:rPr>
        <w:t xml:space="preserve">duty claim because the court could not analyze the </w:t>
      </w:r>
      <w:r w:rsidRPr="00356ED0">
        <w:rPr>
          <w:rFonts w:eastAsia="Times New Roman"/>
          <w:color w:val="000000"/>
        </w:rPr>
        <w:t xml:space="preserve">secular language of the church constitution in isolation, ignoring the document’s ecclesiastical components). </w:t>
      </w:r>
    </w:p>
    <w:p w:rsidR="00356ED0" w:rsidRPr="00356ED0" w:rsidP="00356ED0" w14:paraId="021345AB" w14:textId="1C902D56">
      <w:pPr>
        <w:spacing w:after="0" w:line="480" w:lineRule="auto"/>
        <w:ind w:firstLine="720"/>
        <w:contextualSpacing/>
        <w:rPr>
          <w:rFonts w:eastAsia="Times New Roman"/>
          <w:color w:val="000000"/>
        </w:rPr>
      </w:pPr>
      <w:r w:rsidRPr="00356ED0">
        <w:rPr>
          <w:rFonts w:eastAsia="Times New Roman"/>
          <w:color w:val="000000"/>
        </w:rPr>
        <w:t xml:space="preserve">To determine whether the Ecclesiastical Abstention Doctrine applies, the </w:t>
      </w:r>
      <w:r w:rsidR="00F06DFA">
        <w:rPr>
          <w:rFonts w:eastAsia="Times New Roman"/>
          <w:color w:val="000000"/>
        </w:rPr>
        <w:t>C</w:t>
      </w:r>
      <w:r w:rsidRPr="00356ED0">
        <w:rPr>
          <w:rFonts w:eastAsia="Times New Roman"/>
          <w:color w:val="000000"/>
        </w:rPr>
        <w:t>ourt must assess whether the dispute requires it to consider “purely ecclesiastical” issues. Ohio courts apply a two-part inquiry to make that determination: (1) whether the religious organization</w:t>
      </w:r>
      <w:r>
        <w:rPr>
          <w:rFonts w:eastAsia="Times New Roman"/>
          <w:color w:val="000000"/>
          <w:vertAlign w:val="superscript"/>
        </w:rPr>
        <w:footnoteReference w:id="6"/>
      </w:r>
      <w:r w:rsidRPr="00356ED0">
        <w:rPr>
          <w:rFonts w:eastAsia="Times New Roman"/>
          <w:color w:val="000000"/>
        </w:rPr>
        <w:t xml:space="preserve"> is hierarchical or congregational;</w:t>
      </w:r>
      <w:r w:rsidR="00A463CF">
        <w:rPr>
          <w:rFonts w:eastAsia="Times New Roman"/>
          <w:color w:val="000000"/>
        </w:rPr>
        <w:t xml:space="preserve"> and</w:t>
      </w:r>
      <w:r w:rsidRPr="00356ED0">
        <w:rPr>
          <w:rFonts w:eastAsia="Times New Roman"/>
          <w:color w:val="000000"/>
        </w:rPr>
        <w:t xml:space="preserve"> (2) if the organization is congregational, whether the dispute is ecclesiastical or secular in nature. If the dispute is ecclesiastical, the </w:t>
      </w:r>
      <w:r w:rsidR="00C51021">
        <w:rPr>
          <w:rFonts w:eastAsia="Times New Roman"/>
          <w:color w:val="000000"/>
        </w:rPr>
        <w:t>C</w:t>
      </w:r>
      <w:r w:rsidRPr="00356ED0">
        <w:rPr>
          <w:rFonts w:eastAsia="Times New Roman"/>
          <w:color w:val="000000"/>
        </w:rPr>
        <w:t xml:space="preserve">ourt lacks jurisdiction over the case.  </w:t>
      </w:r>
      <w:r w:rsidRPr="00356ED0">
        <w:rPr>
          <w:rFonts w:eastAsia="Times New Roman"/>
          <w:i/>
          <w:iCs/>
          <w:color w:val="000000"/>
        </w:rPr>
        <w:t>Harrison</w:t>
      </w:r>
      <w:r w:rsidRPr="00356ED0">
        <w:rPr>
          <w:rFonts w:eastAsia="Times New Roman"/>
          <w:color w:val="000000"/>
        </w:rPr>
        <w:t xml:space="preserve">, 2015-Ohio-5308, ¶ 41; </w:t>
      </w:r>
      <w:r w:rsidRPr="00356ED0">
        <w:rPr>
          <w:rFonts w:eastAsia="Times New Roman"/>
          <w:i/>
          <w:iCs/>
          <w:color w:val="000000"/>
        </w:rPr>
        <w:t>Bhatti v. Singh</w:t>
      </w:r>
      <w:r w:rsidRPr="00356ED0">
        <w:rPr>
          <w:rFonts w:eastAsia="Times New Roman"/>
          <w:color w:val="000000"/>
        </w:rPr>
        <w:t>, 2002-Ohio-3348, ¶ 25 (2d Dist.).</w:t>
      </w:r>
    </w:p>
    <w:p w:rsidR="00C21BB1" w:rsidP="00CB5321" w14:paraId="769F978A" w14:textId="388E3842">
      <w:pPr>
        <w:pStyle w:val="BodyText"/>
      </w:pPr>
      <w:r>
        <w:t xml:space="preserve">The Ecclesiastical Abstention Doctrine applies here.  </w:t>
      </w:r>
      <w:r>
        <w:t xml:space="preserve">As an initial matter, courts recognize that </w:t>
      </w:r>
      <w:r w:rsidRPr="00356ED0">
        <w:t xml:space="preserve">Judaism is a congregational, not hierarchical, religion. </w:t>
      </w:r>
      <w:r w:rsidRPr="00356ED0">
        <w:rPr>
          <w:i/>
          <w:iCs/>
        </w:rPr>
        <w:t>See Alexander v. Shiloh Baptist Church</w:t>
      </w:r>
      <w:r w:rsidRPr="00356ED0">
        <w:t xml:space="preserve">, 62 Ohio Misc. 2d 79, 84 (C.P. 1991); </w:t>
      </w:r>
      <w:r w:rsidRPr="00356ED0">
        <w:rPr>
          <w:i/>
          <w:iCs/>
        </w:rPr>
        <w:t>Meshel v. Ohev Sholom Talmud Torah</w:t>
      </w:r>
      <w:r w:rsidRPr="00356ED0">
        <w:t xml:space="preserve">, 869 A.2d 343, 347 (D.C. 2005) </w:t>
      </w:r>
      <w:r w:rsidRPr="00356ED0">
        <w:rPr>
          <w:rFonts w:eastAsiaTheme="minorHAnsi"/>
        </w:rPr>
        <w:t>(describing an Orthodox Jewish congregation as a “stand-alone, ‘congregational’ religious organization” that “is a self-governing entity that has no higher ecclesiastical body or authority to which it must answer”).</w:t>
      </w:r>
      <w:r w:rsidRPr="00356ED0">
        <w:t xml:space="preserve">  </w:t>
      </w:r>
      <w:r w:rsidR="005717DC">
        <w:t>So,</w:t>
      </w:r>
      <w:r w:rsidR="006A5175">
        <w:t xml:space="preserve"> the key question is whether the AG’s Complaint addresses an ecclesiastical or secular dispute.  </w:t>
      </w:r>
    </w:p>
    <w:p w:rsidR="008B1B0C" w:rsidP="00E50C29" w14:paraId="7CF3E45C" w14:textId="0E10C659">
      <w:pPr>
        <w:pStyle w:val="BodyText"/>
      </w:pPr>
      <w:r>
        <w:t xml:space="preserve">Here, </w:t>
      </w:r>
      <w:r w:rsidRPr="00356ED0" w:rsidR="00356ED0">
        <w:t xml:space="preserve">the Ecclesiastical Abstention Doctrine </w:t>
      </w:r>
      <w:r w:rsidR="007D6FFA">
        <w:t xml:space="preserve">bars the Complaint </w:t>
      </w:r>
      <w:r w:rsidRPr="00356ED0" w:rsidR="00356ED0">
        <w:t xml:space="preserve">because </w:t>
      </w:r>
      <w:r w:rsidR="00AE76EC">
        <w:t xml:space="preserve">deciding </w:t>
      </w:r>
      <w:r w:rsidRPr="00356ED0" w:rsidR="00356ED0">
        <w:t xml:space="preserve">to </w:t>
      </w:r>
      <w:r>
        <w:t xml:space="preserve">close a </w:t>
      </w:r>
      <w:r w:rsidRPr="00356ED0" w:rsidR="00356ED0">
        <w:t>rabbinical school</w:t>
      </w:r>
      <w:r w:rsidRPr="00AE76EC" w:rsidR="00AE76EC">
        <w:t xml:space="preserve"> </w:t>
      </w:r>
      <w:r w:rsidR="00AE76EC">
        <w:t xml:space="preserve">was </w:t>
      </w:r>
      <w:r w:rsidRPr="00356ED0" w:rsidR="00AE76EC">
        <w:t xml:space="preserve">purely </w:t>
      </w:r>
      <w:r w:rsidR="00AE76EC">
        <w:t xml:space="preserve">an </w:t>
      </w:r>
      <w:r w:rsidRPr="00356ED0" w:rsidR="00AE76EC">
        <w:t>ecclesiastical matter</w:t>
      </w:r>
      <w:r w:rsidR="00AE76EC">
        <w:t xml:space="preserve">.  That is especially true because </w:t>
      </w:r>
      <w:r w:rsidR="00D1729D">
        <w:t xml:space="preserve">the HUC </w:t>
      </w:r>
      <w:r w:rsidR="00AE76EC">
        <w:t>Board</w:t>
      </w:r>
      <w:r w:rsidR="00D1729D">
        <w:t>’s</w:t>
      </w:r>
      <w:r w:rsidR="00AE76EC">
        <w:t xml:space="preserve"> decision </w:t>
      </w:r>
      <w:r w:rsidR="00DF581F">
        <w:t xml:space="preserve">was motivated by a desire </w:t>
      </w:r>
      <w:r>
        <w:t xml:space="preserve">to preserve </w:t>
      </w:r>
      <w:r w:rsidR="00AE76EC">
        <w:t xml:space="preserve">HUC’s </w:t>
      </w:r>
      <w:r>
        <w:t xml:space="preserve">larger </w:t>
      </w:r>
      <w:r w:rsidR="006948AE">
        <w:t xml:space="preserve">religious educational </w:t>
      </w:r>
      <w:r>
        <w:t>mission</w:t>
      </w:r>
      <w:r w:rsidR="00DF581F">
        <w:t xml:space="preserve">.  </w:t>
      </w:r>
      <w:r w:rsidR="00C53EE4">
        <w:t>T</w:t>
      </w:r>
      <w:r>
        <w:t>he resolution attached to the Complaint as Exhibit 3</w:t>
      </w:r>
      <w:r w:rsidR="00DF581F">
        <w:t xml:space="preserve"> shows as much</w:t>
      </w:r>
      <w:r w:rsidRPr="00356ED0" w:rsidR="00356ED0">
        <w:t xml:space="preserve">. </w:t>
      </w:r>
      <w:r w:rsidR="00E50C29">
        <w:t xml:space="preserve"> </w:t>
      </w:r>
      <w:r w:rsidR="006948AE">
        <w:t>E</w:t>
      </w:r>
      <w:r w:rsidR="00E50C29">
        <w:t xml:space="preserve">ducating </w:t>
      </w:r>
      <w:r w:rsidR="00FB3453">
        <w:t xml:space="preserve">and training rabbis and lay leaders of the Reform </w:t>
      </w:r>
      <w:r w:rsidR="00C53EE4">
        <w:t xml:space="preserve">Jewish </w:t>
      </w:r>
      <w:r w:rsidR="00FB3453">
        <w:t>movement is why HUC exists. The question of w</w:t>
      </w:r>
      <w:r w:rsidRPr="00356ED0" w:rsidR="00356ED0">
        <w:t xml:space="preserve">here </w:t>
      </w:r>
      <w:r w:rsidR="00FB3453">
        <w:t xml:space="preserve">best to engage in that education and training is thus a </w:t>
      </w:r>
      <w:r w:rsidRPr="00356ED0" w:rsidR="00356ED0">
        <w:t xml:space="preserve">critical component of </w:t>
      </w:r>
      <w:r w:rsidR="00FB3453">
        <w:t xml:space="preserve">and woven into </w:t>
      </w:r>
      <w:r w:rsidRPr="00356ED0" w:rsidR="00356ED0">
        <w:t>HUC</w:t>
      </w:r>
      <w:r w:rsidR="00FB3453">
        <w:t>’</w:t>
      </w:r>
      <w:r w:rsidRPr="00356ED0" w:rsidR="00356ED0">
        <w:t xml:space="preserve">s religious mission and identity. </w:t>
      </w:r>
      <w:r w:rsidRPr="00356ED0" w:rsidR="00356ED0">
        <w:rPr>
          <w:i/>
          <w:iCs/>
        </w:rPr>
        <w:t>See Our Lady of Guadalupe Sch</w:t>
      </w:r>
      <w:r w:rsidR="00B535FD">
        <w:rPr>
          <w:i/>
          <w:iCs/>
        </w:rPr>
        <w:t>.</w:t>
      </w:r>
      <w:r w:rsidRPr="00356ED0" w:rsidR="00356ED0">
        <w:rPr>
          <w:i/>
          <w:iCs/>
        </w:rPr>
        <w:t xml:space="preserve"> v. Morrissey-Berru</w:t>
      </w:r>
      <w:r w:rsidRPr="00356ED0" w:rsidR="00356ED0">
        <w:t xml:space="preserve">, 591 U.S. 732, 755 (2020) (“Religious education is a matter of central importance in Judaism.”). </w:t>
      </w:r>
      <w:r w:rsidR="00410C76">
        <w:t>T</w:t>
      </w:r>
      <w:r w:rsidR="006D19AF">
        <w:t>his case</w:t>
      </w:r>
      <w:r w:rsidR="00410C76">
        <w:t>, therefore, is about religious education and governance.</w:t>
      </w:r>
      <w:r w:rsidR="006D19AF">
        <w:t xml:space="preserve"> </w:t>
      </w:r>
    </w:p>
    <w:p w:rsidR="00F0303A" w:rsidP="00E61917" w14:paraId="2DD393CB" w14:textId="29D01719">
      <w:pPr>
        <w:pStyle w:val="BodyText"/>
        <w:rPr>
          <w:rFonts w:eastAsia="Times New Roman"/>
          <w:color w:val="000000"/>
        </w:rPr>
      </w:pPr>
      <w:r>
        <w:rPr>
          <w:rFonts w:eastAsiaTheme="minorHAnsi"/>
        </w:rPr>
        <w:t xml:space="preserve">Indeed, the AG’s Complaint conveys that this case intrudes into ecclesiastical matters.  The AG’s claims center on </w:t>
      </w:r>
      <w:r w:rsidR="00F34C7A">
        <w:rPr>
          <w:rFonts w:eastAsiaTheme="minorHAnsi"/>
        </w:rPr>
        <w:t>t</w:t>
      </w:r>
      <w:r w:rsidRPr="00356ED0" w:rsidR="00356ED0">
        <w:rPr>
          <w:rFonts w:eastAsiaTheme="minorHAnsi"/>
          <w:color w:val="1B1A18"/>
          <w:shd w:val="clear" w:color="auto" w:fill="FFFFFF"/>
        </w:rPr>
        <w:t xml:space="preserve">he </w:t>
      </w:r>
      <w:r w:rsidR="006D19AF">
        <w:rPr>
          <w:rFonts w:eastAsiaTheme="minorHAnsi"/>
          <w:color w:val="1B1A18"/>
          <w:shd w:val="clear" w:color="auto" w:fill="FFFFFF"/>
        </w:rPr>
        <w:t xml:space="preserve">1950 </w:t>
      </w:r>
      <w:r w:rsidR="00144432">
        <w:rPr>
          <w:rFonts w:eastAsiaTheme="minorHAnsi"/>
          <w:color w:val="1B1A18"/>
          <w:shd w:val="clear" w:color="auto" w:fill="FFFFFF"/>
        </w:rPr>
        <w:t xml:space="preserve">Consolidation </w:t>
      </w:r>
      <w:r w:rsidRPr="00356ED0" w:rsidR="00356ED0">
        <w:rPr>
          <w:rFonts w:eastAsiaTheme="minorHAnsi"/>
          <w:color w:val="1B1A18"/>
          <w:shd w:val="clear" w:color="auto" w:fill="FFFFFF"/>
        </w:rPr>
        <w:t>Agreement</w:t>
      </w:r>
      <w:r>
        <w:rPr>
          <w:rFonts w:eastAsiaTheme="minorHAnsi"/>
          <w:color w:val="1B1A18"/>
          <w:shd w:val="clear" w:color="auto" w:fill="FFFFFF"/>
        </w:rPr>
        <w:t>.  But by that document’s own terms</w:t>
      </w:r>
      <w:r w:rsidR="00F34C7A">
        <w:rPr>
          <w:rFonts w:eastAsiaTheme="minorHAnsi"/>
          <w:color w:val="1B1A18"/>
          <w:shd w:val="clear" w:color="auto" w:fill="FFFFFF"/>
        </w:rPr>
        <w:t>, adjudicat</w:t>
      </w:r>
      <w:r w:rsidR="004A43B0">
        <w:rPr>
          <w:rFonts w:eastAsiaTheme="minorHAnsi"/>
          <w:color w:val="1B1A18"/>
          <w:shd w:val="clear" w:color="auto" w:fill="FFFFFF"/>
        </w:rPr>
        <w:t>i</w:t>
      </w:r>
      <w:r w:rsidR="00F34C7A">
        <w:rPr>
          <w:rFonts w:eastAsiaTheme="minorHAnsi"/>
          <w:color w:val="1B1A18"/>
          <w:shd w:val="clear" w:color="auto" w:fill="FFFFFF"/>
        </w:rPr>
        <w:t>n</w:t>
      </w:r>
      <w:r w:rsidR="004A43B0">
        <w:rPr>
          <w:rFonts w:eastAsiaTheme="minorHAnsi"/>
          <w:color w:val="1B1A18"/>
          <w:shd w:val="clear" w:color="auto" w:fill="FFFFFF"/>
        </w:rPr>
        <w:t>g</w:t>
      </w:r>
      <w:r w:rsidR="00F34C7A">
        <w:rPr>
          <w:rFonts w:eastAsiaTheme="minorHAnsi"/>
          <w:color w:val="1B1A18"/>
          <w:shd w:val="clear" w:color="auto" w:fill="FFFFFF"/>
        </w:rPr>
        <w:t xml:space="preserve"> this case requires the Court to consider </w:t>
      </w:r>
      <w:r w:rsidRPr="00356ED0" w:rsidR="00356ED0">
        <w:rPr>
          <w:rFonts w:eastAsiaTheme="minorHAnsi"/>
          <w:color w:val="1B1A18"/>
          <w:shd w:val="clear" w:color="auto" w:fill="FFFFFF"/>
        </w:rPr>
        <w:t>whether HUC</w:t>
      </w:r>
      <w:r w:rsidR="00EA02E3">
        <w:rPr>
          <w:rFonts w:eastAsiaTheme="minorHAnsi"/>
          <w:color w:val="1B1A18"/>
          <w:shd w:val="clear" w:color="auto" w:fill="FFFFFF"/>
        </w:rPr>
        <w:t>’</w:t>
      </w:r>
      <w:r w:rsidRPr="00356ED0" w:rsidR="00356ED0">
        <w:rPr>
          <w:rFonts w:eastAsiaTheme="minorHAnsi"/>
          <w:color w:val="1B1A18"/>
          <w:shd w:val="clear" w:color="auto" w:fill="FFFFFF"/>
        </w:rPr>
        <w:t>s decision “promote[s] the study of the Jewish Religion,” furthers “train[ing] in liberal spirit,” or provides the “general public [with] constructive knowledge of Judaism, its spiritual and social ideals, its history and outlook and its contribution to the world's progress.”</w:t>
      </w:r>
      <w:r w:rsidR="00CB5321">
        <w:rPr>
          <w:rFonts w:eastAsiaTheme="minorHAnsi"/>
          <w:color w:val="1B1A18"/>
          <w:shd w:val="clear" w:color="auto" w:fill="FFFFFF"/>
        </w:rPr>
        <w:t xml:space="preserve"> (Compl. Ex. 1</w:t>
      </w:r>
      <w:r w:rsidRPr="00356ED0" w:rsidR="00356ED0">
        <w:rPr>
          <w:rFonts w:eastAsiaTheme="minorHAnsi"/>
          <w:color w:val="1B1A18"/>
          <w:shd w:val="clear" w:color="auto" w:fill="FFFFFF"/>
        </w:rPr>
        <w:t xml:space="preserve"> ¶¶ 2(a), (b), 3.</w:t>
      </w:r>
      <w:r w:rsidR="00CB5321">
        <w:rPr>
          <w:rFonts w:eastAsiaTheme="minorHAnsi"/>
          <w:color w:val="1B1A18"/>
          <w:shd w:val="clear" w:color="auto" w:fill="FFFFFF"/>
        </w:rPr>
        <w:t>)</w:t>
      </w:r>
      <w:r w:rsidRPr="00356ED0" w:rsidR="00356ED0">
        <w:rPr>
          <w:rFonts w:eastAsiaTheme="minorHAnsi"/>
        </w:rPr>
        <w:t xml:space="preserve"> This</w:t>
      </w:r>
      <w:r w:rsidRPr="00356ED0" w:rsidR="00356ED0">
        <w:rPr>
          <w:rFonts w:eastAsia="Times New Roman"/>
          <w:color w:val="000000"/>
        </w:rPr>
        <w:t xml:space="preserve"> inquiry necessarily implicates purely ecclesiastical considerations</w:t>
      </w:r>
      <w:r w:rsidR="00F34C7A">
        <w:rPr>
          <w:rFonts w:eastAsia="Times New Roman"/>
          <w:color w:val="000000"/>
        </w:rPr>
        <w:t xml:space="preserve"> that are beyond the reach of the judicial branch</w:t>
      </w:r>
      <w:r w:rsidR="00AD7DB2">
        <w:rPr>
          <w:rFonts w:eastAsia="Times New Roman"/>
          <w:color w:val="000000"/>
        </w:rPr>
        <w:t xml:space="preserve">. </w:t>
      </w:r>
      <w:r w:rsidR="00F34C7A">
        <w:rPr>
          <w:rFonts w:eastAsia="Times New Roman"/>
          <w:color w:val="000000"/>
        </w:rPr>
        <w:t xml:space="preserve">It is HUC’s obligation to assess and adopt policies to implement its </w:t>
      </w:r>
      <w:r w:rsidR="008D47EE">
        <w:rPr>
          <w:rFonts w:eastAsia="Times New Roman"/>
          <w:color w:val="000000"/>
        </w:rPr>
        <w:t xml:space="preserve">religious </w:t>
      </w:r>
      <w:r w:rsidR="00F34C7A">
        <w:rPr>
          <w:rFonts w:eastAsia="Times New Roman"/>
          <w:color w:val="000000"/>
        </w:rPr>
        <w:t xml:space="preserve">mission to train clergy and lay leadership of the Reform </w:t>
      </w:r>
      <w:r w:rsidR="00C53EE4">
        <w:rPr>
          <w:rFonts w:eastAsia="Times New Roman"/>
          <w:color w:val="000000"/>
        </w:rPr>
        <w:t xml:space="preserve">Jewish </w:t>
      </w:r>
      <w:r w:rsidR="00F34C7A">
        <w:rPr>
          <w:rFonts w:eastAsia="Times New Roman"/>
          <w:color w:val="000000"/>
        </w:rPr>
        <w:t xml:space="preserve">movement, not this Court’s and certainly not the Attorney General’s.  </w:t>
      </w:r>
      <w:r w:rsidRPr="00356ED0" w:rsidR="00356ED0">
        <w:rPr>
          <w:rFonts w:eastAsia="Times New Roman"/>
          <w:color w:val="000000"/>
        </w:rPr>
        <w:t xml:space="preserve"> </w:t>
      </w:r>
    </w:p>
    <w:p w:rsidR="006D19AF" w:rsidP="00CB5321" w14:paraId="2BBEF4AB" w14:textId="29D1CCA3">
      <w:pPr>
        <w:pStyle w:val="BodyText"/>
        <w:rPr>
          <w:rFonts w:eastAsia="Times New Roman"/>
          <w:color w:val="000000"/>
        </w:rPr>
      </w:pPr>
      <w:r>
        <w:t xml:space="preserve">What is more, that </w:t>
      </w:r>
      <w:r w:rsidR="008B08B5">
        <w:t xml:space="preserve">intrusion is neither limited nor tangential.  Instead, it is at the core of the Complaint.  </w:t>
      </w:r>
      <w:r>
        <w:t xml:space="preserve">The Attorney General seeks to substitute his judgment for the leaders of a religious institution about its proper administration, take its money, and redistribute those assets to </w:t>
      </w:r>
      <w:r w:rsidR="00B535FD">
        <w:t xml:space="preserve">other </w:t>
      </w:r>
      <w:r>
        <w:t>entit</w:t>
      </w:r>
      <w:r w:rsidR="00B535FD">
        <w:t>ies</w:t>
      </w:r>
      <w:r>
        <w:t xml:space="preserve"> </w:t>
      </w:r>
      <w:r w:rsidR="00B535FD">
        <w:t xml:space="preserve">that </w:t>
      </w:r>
      <w:r>
        <w:t xml:space="preserve">he deems </w:t>
      </w:r>
      <w:r w:rsidR="00B535FD">
        <w:t xml:space="preserve">are </w:t>
      </w:r>
      <w:r>
        <w:t xml:space="preserve">better suited to fulfill HUC’s religious mission than HUC itself. The Ecclesiastical Abstention Doctrine exists to bar intrusions into religious matters like this one. </w:t>
      </w:r>
      <w:r w:rsidRPr="00356ED0">
        <w:t>Any attempt to resolve secular issues</w:t>
      </w:r>
      <w:r>
        <w:t>, to the extent they exist at all,</w:t>
      </w:r>
      <w:r w:rsidRPr="00356ED0">
        <w:t xml:space="preserve"> would run afoul of th</w:t>
      </w:r>
      <w:r>
        <w:t>at</w:t>
      </w:r>
      <w:r w:rsidRPr="00356ED0">
        <w:t xml:space="preserve"> </w:t>
      </w:r>
      <w:r w:rsidR="00B535FD">
        <w:t>d</w:t>
      </w:r>
      <w:r>
        <w:t>octrine</w:t>
      </w:r>
      <w:r w:rsidRPr="00356ED0">
        <w:t xml:space="preserve">, as such issues are </w:t>
      </w:r>
      <w:r w:rsidRPr="00356ED0">
        <w:rPr>
          <w:rFonts w:eastAsiaTheme="minorHAnsi"/>
        </w:rPr>
        <w:t xml:space="preserve">“inextricably entangled” with HUC’s ecclesiastical decision-making.  </w:t>
      </w:r>
      <w:r w:rsidRPr="00356ED0" w:rsidR="00356ED0">
        <w:rPr>
          <w:rFonts w:eastAsia="Times New Roman"/>
          <w:color w:val="000000"/>
        </w:rPr>
        <w:t xml:space="preserve"> </w:t>
      </w:r>
    </w:p>
    <w:p w:rsidR="00356ED0" w:rsidRPr="00356ED0" w:rsidP="00CB5321" w14:paraId="34DFD6F4" w14:textId="24F39B57">
      <w:pPr>
        <w:pStyle w:val="BodyText"/>
        <w:rPr>
          <w:rFonts w:eastAsiaTheme="minorHAnsi"/>
        </w:rPr>
      </w:pPr>
      <w:r>
        <w:t>The means</w:t>
      </w:r>
      <w:r w:rsidR="00D65252">
        <w:t>,</w:t>
      </w:r>
      <w:r>
        <w:t xml:space="preserve"> methods </w:t>
      </w:r>
      <w:r w:rsidR="00D65252">
        <w:t xml:space="preserve">and geography </w:t>
      </w:r>
      <w:r>
        <w:t xml:space="preserve">of training Jewish clergy is </w:t>
      </w:r>
      <w:r w:rsidR="00D65252">
        <w:t>inherently religious</w:t>
      </w:r>
      <w:r>
        <w:t xml:space="preserve"> </w:t>
      </w:r>
      <w:r w:rsidR="00D65252">
        <w:t>in nature. The Torah itself teaches that G</w:t>
      </w:r>
      <w:r w:rsidR="00B535FD">
        <w:t>o</w:t>
      </w:r>
      <w:r w:rsidR="00D65252">
        <w:t>d will come to his people wherever they welcome him. Exodus 20.21; 25:8. As a mobile people, these words have comforted and guided Jews throughout the Millenia.</w:t>
      </w:r>
      <w:r w:rsidR="00F34C7A">
        <w:t xml:space="preserve"> The HUC</w:t>
      </w:r>
      <w:r w:rsidR="008D47EE">
        <w:t xml:space="preserve"> B</w:t>
      </w:r>
      <w:r w:rsidR="00F34C7A">
        <w:t>oard properly considered Jewish demographic realities and acted in accordance with the Jewish tradition in making th</w:t>
      </w:r>
      <w:r w:rsidR="0090606A">
        <w:t>e</w:t>
      </w:r>
      <w:r w:rsidR="00F34C7A">
        <w:t xml:space="preserve"> changes to its rabbinical program at issue in this case.</w:t>
      </w:r>
      <w:r w:rsidR="00D65252">
        <w:t xml:space="preserve"> </w:t>
      </w:r>
      <w:r>
        <w:t>This Court lacks subject</w:t>
      </w:r>
      <w:r w:rsidR="00B535FD">
        <w:t>-</w:t>
      </w:r>
      <w:r>
        <w:t xml:space="preserve">matter jurisdiction and should dismiss the case under </w:t>
      </w:r>
      <w:r w:rsidRPr="00356ED0">
        <w:t>the Ecclesiastical Abstention Doctrine.</w:t>
      </w:r>
    </w:p>
    <w:p w:rsidR="00356ED0" w:rsidRPr="00356ED0" w:rsidP="00144432" w14:paraId="0A46293C" w14:textId="54092132">
      <w:pPr>
        <w:keepNext/>
        <w:numPr>
          <w:ilvl w:val="2"/>
          <w:numId w:val="5"/>
        </w:numPr>
        <w:tabs>
          <w:tab w:val="num" w:pos="360"/>
        </w:tabs>
        <w:ind w:left="2160"/>
        <w:outlineLvl w:val="2"/>
        <w:rPr>
          <w:rFonts w:eastAsia="Calibri" w:cstheme="majorBidi"/>
          <w:b/>
          <w:bCs/>
          <w:kern w:val="2"/>
          <w14:ligatures w14:val="standardContextual"/>
        </w:rPr>
      </w:pPr>
      <w:r w:rsidRPr="00356ED0">
        <w:rPr>
          <w:rFonts w:eastAsia="Calibri" w:cstheme="majorBidi"/>
          <w:b/>
          <w:bCs/>
          <w:kern w:val="2"/>
          <w14:ligatures w14:val="standardContextual"/>
        </w:rPr>
        <w:t xml:space="preserve">The Attorney General’s Action </w:t>
      </w:r>
      <w:r w:rsidR="00863310">
        <w:rPr>
          <w:rFonts w:eastAsia="Calibri" w:cstheme="majorBidi"/>
          <w:b/>
          <w:bCs/>
          <w:kern w:val="2"/>
          <w14:ligatures w14:val="standardContextual"/>
        </w:rPr>
        <w:t>V</w:t>
      </w:r>
      <w:r w:rsidRPr="00356ED0">
        <w:rPr>
          <w:rFonts w:eastAsia="Calibri" w:cstheme="majorBidi"/>
          <w:b/>
          <w:bCs/>
          <w:kern w:val="2"/>
          <w14:ligatures w14:val="standardContextual"/>
        </w:rPr>
        <w:t>iolates the Free Exercise Clause</w:t>
      </w:r>
      <w:r w:rsidR="007B0165">
        <w:rPr>
          <w:rFonts w:eastAsia="Calibri" w:cstheme="majorBidi"/>
          <w:b/>
          <w:bCs/>
          <w:kern w:val="2"/>
          <w14:ligatures w14:val="standardContextual"/>
        </w:rPr>
        <w:t>s</w:t>
      </w:r>
      <w:r w:rsidRPr="00356ED0">
        <w:rPr>
          <w:rFonts w:eastAsia="Calibri" w:cstheme="majorBidi"/>
          <w:b/>
          <w:bCs/>
          <w:kern w:val="2"/>
          <w14:ligatures w14:val="standardContextual"/>
        </w:rPr>
        <w:t xml:space="preserve"> of the United States </w:t>
      </w:r>
      <w:r w:rsidR="008A5F03">
        <w:rPr>
          <w:rFonts w:eastAsia="Calibri" w:cstheme="majorBidi"/>
          <w:b/>
          <w:bCs/>
          <w:kern w:val="2"/>
          <w14:ligatures w14:val="standardContextual"/>
        </w:rPr>
        <w:t xml:space="preserve">and Ohio </w:t>
      </w:r>
      <w:r w:rsidRPr="00356ED0">
        <w:rPr>
          <w:rFonts w:eastAsia="Calibri" w:cstheme="majorBidi"/>
          <w:b/>
          <w:bCs/>
          <w:kern w:val="2"/>
          <w14:ligatures w14:val="standardContextual"/>
        </w:rPr>
        <w:t>Constitution</w:t>
      </w:r>
      <w:r w:rsidR="00863310">
        <w:rPr>
          <w:rFonts w:eastAsia="Calibri" w:cstheme="majorBidi"/>
          <w:b/>
          <w:bCs/>
          <w:kern w:val="2"/>
          <w14:ligatures w14:val="standardContextual"/>
        </w:rPr>
        <w:t>s</w:t>
      </w:r>
      <w:r w:rsidRPr="00356ED0">
        <w:rPr>
          <w:rFonts w:eastAsia="Calibri" w:cstheme="majorBidi"/>
          <w:b/>
          <w:bCs/>
          <w:kern w:val="2"/>
          <w14:ligatures w14:val="standardContextual"/>
        </w:rPr>
        <w:t>.</w:t>
      </w:r>
    </w:p>
    <w:p w:rsidR="00356ED0" w:rsidRPr="00356ED0" w:rsidP="00CB5321" w14:paraId="40A88710" w14:textId="7FEAE7F1">
      <w:pPr>
        <w:pStyle w:val="BodyText"/>
      </w:pPr>
      <w:r w:rsidRPr="00356ED0">
        <w:t xml:space="preserve">The federal Constitution’s </w:t>
      </w:r>
      <w:r w:rsidR="008D47EE">
        <w:t>F</w:t>
      </w:r>
      <w:r w:rsidRPr="00356ED0">
        <w:t xml:space="preserve">ree </w:t>
      </w:r>
      <w:r w:rsidR="008D47EE">
        <w:t>E</w:t>
      </w:r>
      <w:r w:rsidRPr="00356ED0">
        <w:t xml:space="preserve">xercise </w:t>
      </w:r>
      <w:r w:rsidR="008D47EE">
        <w:t>C</w:t>
      </w:r>
      <w:r w:rsidRPr="00356ED0">
        <w:t xml:space="preserve">lause protects individuals and organizations from laws that prohibit the free exercise of religion. </w:t>
      </w:r>
      <w:r w:rsidRPr="00356ED0">
        <w:rPr>
          <w:smallCaps/>
        </w:rPr>
        <w:t>U.S. Const.</w:t>
      </w:r>
      <w:r w:rsidRPr="00356ED0">
        <w:t xml:space="preserve"> amends. I, XIV. Ohio’s </w:t>
      </w:r>
      <w:r w:rsidR="004F6FE6">
        <w:t>F</w:t>
      </w:r>
      <w:r w:rsidRPr="00356ED0">
        <w:t xml:space="preserve">ree </w:t>
      </w:r>
      <w:r w:rsidR="004F6FE6">
        <w:t>E</w:t>
      </w:r>
      <w:r w:rsidRPr="00356ED0">
        <w:t xml:space="preserve">xercise </w:t>
      </w:r>
      <w:r w:rsidR="004F6FE6">
        <w:t>C</w:t>
      </w:r>
      <w:r w:rsidRPr="00356ED0">
        <w:t xml:space="preserve">lause extends </w:t>
      </w:r>
      <w:r w:rsidR="00144432">
        <w:t xml:space="preserve">the federal protections even </w:t>
      </w:r>
      <w:r w:rsidRPr="00356ED0">
        <w:t xml:space="preserve">further. </w:t>
      </w:r>
      <w:r w:rsidRPr="00356ED0">
        <w:rPr>
          <w:i/>
          <w:iCs/>
        </w:rPr>
        <w:t>Humphrey v. Lane</w:t>
      </w:r>
      <w:r w:rsidRPr="00356ED0">
        <w:t xml:space="preserve">, 89 Ohio St.3d 62, 68 (2000). </w:t>
      </w:r>
      <w:r w:rsidR="00144432">
        <w:t>Ohio’s protections n</w:t>
      </w:r>
      <w:r w:rsidRPr="00356ED0">
        <w:t xml:space="preserve">ot only bar laws that </w:t>
      </w:r>
      <w:r w:rsidRPr="00356ED0">
        <w:rPr>
          <w:i/>
          <w:iCs/>
        </w:rPr>
        <w:t>prohibit</w:t>
      </w:r>
      <w:r w:rsidRPr="00356ED0">
        <w:t xml:space="preserve"> the free exercise of religion; </w:t>
      </w:r>
      <w:r w:rsidR="00A137DE">
        <w:t>they</w:t>
      </w:r>
      <w:r w:rsidRPr="00356ED0">
        <w:t xml:space="preserve"> </w:t>
      </w:r>
      <w:r w:rsidR="00144432">
        <w:t xml:space="preserve">also </w:t>
      </w:r>
      <w:r w:rsidRPr="00356ED0">
        <w:t>protect individuals and organizations from laws that “</w:t>
      </w:r>
      <w:r w:rsidRPr="00356ED0">
        <w:rPr>
          <w:i/>
          <w:iCs/>
        </w:rPr>
        <w:t>interfere</w:t>
      </w:r>
      <w:r w:rsidRPr="00CB5321">
        <w:t>[]</w:t>
      </w:r>
      <w:r w:rsidRPr="00356ED0">
        <w:t xml:space="preserve"> with the rights of conscience.”  </w:t>
      </w:r>
      <w:r w:rsidRPr="00356ED0">
        <w:rPr>
          <w:smallCaps/>
        </w:rPr>
        <w:t>Ohio Const</w:t>
      </w:r>
      <w:r w:rsidRPr="00356ED0">
        <w:t xml:space="preserve">., art I, </w:t>
      </w:r>
      <w:r w:rsidRPr="00356ED0">
        <w:rPr>
          <w:rFonts w:ascii="Engravers MT" w:hAnsi="Engravers MT"/>
        </w:rPr>
        <w:t>§</w:t>
      </w:r>
      <w:r w:rsidRPr="00356ED0">
        <w:t xml:space="preserve"> 7 (emphasis added). Both direct and indirect interferences with the free exercise of religion violate Ohio’s </w:t>
      </w:r>
      <w:r w:rsidR="004F6FE6">
        <w:t>C</w:t>
      </w:r>
      <w:r w:rsidRPr="00356ED0">
        <w:t xml:space="preserve">onstitution. </w:t>
      </w:r>
      <w:r w:rsidRPr="00356ED0">
        <w:rPr>
          <w:i/>
          <w:iCs/>
        </w:rPr>
        <w:t>Humphrey</w:t>
      </w:r>
      <w:r w:rsidRPr="00356ED0">
        <w:t>, 89 Ohio St. at 68</w:t>
      </w:r>
      <w:r w:rsidRPr="00356ED0">
        <w:rPr>
          <w:i/>
          <w:iCs/>
        </w:rPr>
        <w:t>.</w:t>
      </w:r>
      <w:r w:rsidRPr="00356ED0">
        <w:t xml:space="preserve"> Indeed, Ohio’s </w:t>
      </w:r>
      <w:r w:rsidR="004F6FE6">
        <w:t>C</w:t>
      </w:r>
      <w:r w:rsidRPr="00356ED0">
        <w:t>onstitution protects against “</w:t>
      </w:r>
      <w:r w:rsidRPr="00356ED0">
        <w:rPr>
          <w:i/>
          <w:iCs/>
        </w:rPr>
        <w:t>any</w:t>
      </w:r>
      <w:r w:rsidRPr="00356ED0">
        <w:t xml:space="preserve"> [governmental] interference,” including ones that only have “tangential effects” on religion. </w:t>
      </w:r>
      <w:r w:rsidR="00B535FD">
        <w:rPr>
          <w:i/>
          <w:iCs/>
        </w:rPr>
        <w:t>Id.</w:t>
      </w:r>
      <w:r w:rsidRPr="00356ED0">
        <w:t xml:space="preserve"> at 67. Accordingly, Ohio’s </w:t>
      </w:r>
      <w:r w:rsidR="004F6FE6">
        <w:t>F</w:t>
      </w:r>
      <w:r w:rsidRPr="00356ED0">
        <w:t xml:space="preserve">ree </w:t>
      </w:r>
      <w:r w:rsidR="004F6FE6">
        <w:t>E</w:t>
      </w:r>
      <w:r w:rsidRPr="00356ED0">
        <w:t xml:space="preserve">xercise </w:t>
      </w:r>
      <w:r w:rsidR="004F6FE6">
        <w:t>C</w:t>
      </w:r>
      <w:r w:rsidRPr="00356ED0">
        <w:t xml:space="preserve">lause embodies a “hands off” spirit that bars governmental intrusion into religion. </w:t>
      </w:r>
      <w:r w:rsidRPr="00356ED0">
        <w:rPr>
          <w:i/>
          <w:iCs/>
        </w:rPr>
        <w:t>State v. Whisner</w:t>
      </w:r>
      <w:r w:rsidRPr="00356ED0">
        <w:t xml:space="preserve">, 47 Ohio St. 2d 181, 207–09 (1976) (quoting </w:t>
      </w:r>
      <w:r w:rsidRPr="00356ED0">
        <w:rPr>
          <w:i/>
          <w:iCs/>
        </w:rPr>
        <w:t>Board of Ed. of Cincinnati v. Minor</w:t>
      </w:r>
      <w:r w:rsidRPr="00356ED0">
        <w:t xml:space="preserve">, 23 Ohio St. 211, 250 (1872)). </w:t>
      </w:r>
    </w:p>
    <w:p w:rsidR="00356ED0" w:rsidRPr="00356ED0" w:rsidP="00CB5321" w14:paraId="1C52475B" w14:textId="76AE808C">
      <w:pPr>
        <w:pStyle w:val="BodyText"/>
      </w:pPr>
      <w:r w:rsidRPr="00356ED0">
        <w:t xml:space="preserve">To state a prima facie case </w:t>
      </w:r>
      <w:r w:rsidR="00A137DE">
        <w:t xml:space="preserve">for violation of </w:t>
      </w:r>
      <w:r w:rsidRPr="00356ED0">
        <w:t xml:space="preserve">the </w:t>
      </w:r>
      <w:r w:rsidR="00070227">
        <w:t>F</w:t>
      </w:r>
      <w:r w:rsidR="00F34C7A">
        <w:t xml:space="preserve">ree </w:t>
      </w:r>
      <w:r w:rsidR="00070227">
        <w:t>E</w:t>
      </w:r>
      <w:r w:rsidR="00F34C7A">
        <w:t xml:space="preserve">xercise </w:t>
      </w:r>
      <w:r w:rsidR="00070227">
        <w:t>C</w:t>
      </w:r>
      <w:r w:rsidR="00F34C7A">
        <w:t>lause</w:t>
      </w:r>
      <w:r w:rsidR="00070227">
        <w:t>,</w:t>
      </w:r>
      <w:r w:rsidR="00F34C7A">
        <w:t xml:space="preserve"> the movant must </w:t>
      </w:r>
      <w:r w:rsidR="00141146">
        <w:t xml:space="preserve">establish </w:t>
      </w:r>
      <w:r w:rsidR="00724D25">
        <w:t>(1)</w:t>
      </w:r>
      <w:r w:rsidR="00070227">
        <w:t> </w:t>
      </w:r>
      <w:r w:rsidR="008608F7">
        <w:t xml:space="preserve">religious beliefs </w:t>
      </w:r>
      <w:r w:rsidR="00141146">
        <w:t xml:space="preserve">that </w:t>
      </w:r>
      <w:r w:rsidR="008608F7">
        <w:t xml:space="preserve">are </w:t>
      </w:r>
      <w:r w:rsidRPr="00356ED0">
        <w:t xml:space="preserve">sincere or “truly held,” and (2) </w:t>
      </w:r>
      <w:r w:rsidR="00141146">
        <w:t xml:space="preserve">that </w:t>
      </w:r>
      <w:r w:rsidRPr="00356ED0">
        <w:t xml:space="preserve">the government’s action “has a coercive </w:t>
      </w:r>
      <w:r w:rsidR="00667879">
        <w:t>e</w:t>
      </w:r>
      <w:r w:rsidRPr="00356ED0">
        <w:t xml:space="preserve">ffect against” the practice of such beliefs. </w:t>
      </w:r>
      <w:r w:rsidRPr="00356ED0">
        <w:rPr>
          <w:i/>
          <w:iCs/>
        </w:rPr>
        <w:t>Humphrey</w:t>
      </w:r>
      <w:r w:rsidRPr="00356ED0">
        <w:t xml:space="preserve">, 89 Ohio St.3d at 68. </w:t>
      </w:r>
      <w:r w:rsidR="008608F7">
        <w:t>A</w:t>
      </w:r>
      <w:r w:rsidRPr="00356ED0">
        <w:t xml:space="preserve"> belief is “truly held” if it “occupies a place in the life of its possessor parallel to that filled by the orthodox belief in God.” </w:t>
      </w:r>
      <w:r w:rsidRPr="00356ED0">
        <w:rPr>
          <w:i/>
          <w:iCs/>
        </w:rPr>
        <w:t>State v. Cook</w:t>
      </w:r>
      <w:r w:rsidRPr="00356ED0">
        <w:t xml:space="preserve">, 2020-Ohio-432, ¶ 41 (3d Dist.) (quoting </w:t>
      </w:r>
      <w:r w:rsidRPr="00356ED0">
        <w:rPr>
          <w:i/>
          <w:iCs/>
        </w:rPr>
        <w:t>United States v. Seeger</w:t>
      </w:r>
      <w:r w:rsidRPr="00356ED0">
        <w:t xml:space="preserve">, 380 U.S. 163, 166 (1965)). The relevant inquiry is “whether the religious practice” at issue “is optional or a matter of personal choice, or whether it is a central tenet of the religion.” </w:t>
      </w:r>
      <w:r w:rsidRPr="00356ED0">
        <w:rPr>
          <w:i/>
          <w:iCs/>
        </w:rPr>
        <w:t>State v. Whitaker</w:t>
      </w:r>
      <w:r w:rsidRPr="00356ED0">
        <w:t xml:space="preserve">, 2007-Ohio-881, ¶ 20 (6th Dist.). </w:t>
      </w:r>
      <w:r w:rsidR="00E24A8A">
        <w:t>G</w:t>
      </w:r>
      <w:r w:rsidRPr="00356ED0">
        <w:t xml:space="preserve">overnmental </w:t>
      </w:r>
      <w:r w:rsidR="004F6FE6">
        <w:t>coercion</w:t>
      </w:r>
      <w:r w:rsidRPr="00356ED0">
        <w:t xml:space="preserve"> occurs when the</w:t>
      </w:r>
      <w:r w:rsidR="00CA0593">
        <w:t xml:space="preserve"> S</w:t>
      </w:r>
      <w:r w:rsidRPr="00356ED0">
        <w:t xml:space="preserve">tate’s actions would “infringe upon” the movant’s ability to exercise their religious beliefs. </w:t>
      </w:r>
      <w:r w:rsidRPr="00356ED0">
        <w:rPr>
          <w:i/>
          <w:iCs/>
        </w:rPr>
        <w:t xml:space="preserve">Humphrey, </w:t>
      </w:r>
      <w:r w:rsidRPr="00356ED0">
        <w:t>89 Ohio St.3d</w:t>
      </w:r>
      <w:r w:rsidRPr="00356ED0">
        <w:rPr>
          <w:i/>
          <w:iCs/>
        </w:rPr>
        <w:t>.</w:t>
      </w:r>
      <w:r w:rsidRPr="00356ED0">
        <w:t xml:space="preserve"> at 68–69. Such interference need not be overt or extreme. Even facially neutral or generally applicable actions by the state may encroach upon the free exercise of religion.  </w:t>
      </w:r>
      <w:r w:rsidRPr="00356ED0">
        <w:rPr>
          <w:i/>
          <w:iCs/>
        </w:rPr>
        <w:t>Id.</w:t>
      </w:r>
      <w:r w:rsidRPr="00356ED0">
        <w:rPr>
          <w:rFonts w:eastAsiaTheme="minorHAnsi" w:cstheme="minorBidi"/>
        </w:rPr>
        <w:t>at 68</w:t>
      </w:r>
      <w:r w:rsidRPr="00356ED0">
        <w:t xml:space="preserve">.  </w:t>
      </w:r>
    </w:p>
    <w:p w:rsidR="00356ED0" w:rsidRPr="00356ED0" w:rsidP="00CB5321" w14:paraId="1B884008" w14:textId="5D5B0D4C">
      <w:pPr>
        <w:pStyle w:val="BodyText"/>
      </w:pPr>
      <w:r w:rsidRPr="00356ED0">
        <w:t xml:space="preserve">After the movant successfully states a prima facie case, the burden then shifts to the government to demonstrate that its actions withstand strict scrutiny. </w:t>
      </w:r>
      <w:r w:rsidRPr="00356ED0">
        <w:rPr>
          <w:i/>
          <w:iCs/>
        </w:rPr>
        <w:t>State v. Sobel</w:t>
      </w:r>
      <w:r w:rsidRPr="00356ED0">
        <w:t>, 2023-Ohio-2247, ¶ 26 (6th Dist.). Strict scrutiny requires the state to show</w:t>
      </w:r>
      <w:r w:rsidR="00CD215A">
        <w:t>:</w:t>
      </w:r>
      <w:r w:rsidRPr="00356ED0">
        <w:t xml:space="preserve"> (1) a compelling government interest justifying its actions, and (2) that it employed the least restrictive means of furthering that compelling interest. </w:t>
      </w:r>
      <w:r w:rsidRPr="00356ED0">
        <w:rPr>
          <w:i/>
          <w:iCs/>
        </w:rPr>
        <w:t>Id.</w:t>
      </w:r>
      <w:r w:rsidRPr="00356ED0">
        <w:t xml:space="preserve"> “A compelling interest is one which has more than a rational relationship to some colorable state interest.” </w:t>
      </w:r>
      <w:r w:rsidRPr="00356ED0">
        <w:rPr>
          <w:i/>
          <w:iCs/>
        </w:rPr>
        <w:t>State v. Bontrager</w:t>
      </w:r>
      <w:r w:rsidRPr="00356ED0">
        <w:t xml:space="preserve">, </w:t>
      </w:r>
      <w:r w:rsidRPr="00B535FD" w:rsidR="00B535FD">
        <w:t xml:space="preserve">114 Ohio App. 3d 367, 375 </w:t>
      </w:r>
      <w:r w:rsidRPr="00356ED0">
        <w:t xml:space="preserve">(3d Dist. 1996). Generally, compelling interests include </w:t>
      </w:r>
      <w:r w:rsidRPr="00356ED0" w:rsidR="00693DDE">
        <w:t xml:space="preserve">only </w:t>
      </w:r>
      <w:r w:rsidRPr="00356ED0">
        <w:t xml:space="preserve">those of the “highest order,” such as those that “promote health, safety, and the general welfare.” </w:t>
      </w:r>
      <w:r w:rsidRPr="00356ED0">
        <w:rPr>
          <w:i/>
          <w:iCs/>
        </w:rPr>
        <w:t>Id.</w:t>
      </w:r>
      <w:r w:rsidRPr="00356ED0">
        <w:t xml:space="preserve"> (state has compelling safety interest in requiring deer hunters to wear certain reflective clothing, even if doing so is contrary to exercise of Amish religion); </w:t>
      </w:r>
      <w:r w:rsidRPr="00356ED0">
        <w:rPr>
          <w:i/>
          <w:iCs/>
        </w:rPr>
        <w:t>see also Kraus v. City of Cleveland</w:t>
      </w:r>
      <w:r w:rsidRPr="00356ED0">
        <w:t>, 163 Ohio St. 559, 557 (1955)</w:t>
      </w:r>
      <w:r w:rsidRPr="00356ED0">
        <w:rPr>
          <w:i/>
          <w:iCs/>
        </w:rPr>
        <w:t xml:space="preserve"> </w:t>
      </w:r>
      <w:r w:rsidRPr="00356ED0">
        <w:t xml:space="preserve">(city has compelling health interest in requiring fluoridation of its drinking water, even if doing so may be contrary to the religion of some Ohioans). Once a compelling interest is shown, the state must then prove its actions are “the least restrictive means available of furthering that state interest.”  </w:t>
      </w:r>
      <w:r w:rsidRPr="00356ED0">
        <w:rPr>
          <w:i/>
          <w:iCs/>
        </w:rPr>
        <w:t>Swiech v. Bd. of Ed. for Sylvania City Sch. Dist.</w:t>
      </w:r>
      <w:r w:rsidRPr="00356ED0">
        <w:t xml:space="preserve">, 263 N.E.3d 510, 2025-Ohio-405, ¶ 49 (6th Dist.). This inquiry involves a “factual determination” that examines whether the state could achieve its goals by other means. </w:t>
      </w:r>
      <w:r w:rsidRPr="00356ED0">
        <w:rPr>
          <w:i/>
        </w:rPr>
        <w:t>Humphrey</w:t>
      </w:r>
      <w:r w:rsidRPr="00356ED0">
        <w:t xml:space="preserve">, 89 Ohio St.3d at 69–70. </w:t>
      </w:r>
    </w:p>
    <w:p w:rsidR="00356ED0" w:rsidRPr="00356ED0" w:rsidP="00CB5321" w14:paraId="550D41CE" w14:textId="0929999E">
      <w:pPr>
        <w:pStyle w:val="BodyText"/>
      </w:pPr>
      <w:r w:rsidRPr="00356ED0">
        <w:t xml:space="preserve">Here, the </w:t>
      </w:r>
      <w:r w:rsidR="00CD215A">
        <w:t>AG’s Complaint</w:t>
      </w:r>
      <w:r w:rsidRPr="00356ED0">
        <w:t xml:space="preserve"> violates the </w:t>
      </w:r>
      <w:r w:rsidR="004F6FE6">
        <w:t>F</w:t>
      </w:r>
      <w:r w:rsidR="00667879">
        <w:t xml:space="preserve">ree </w:t>
      </w:r>
      <w:r w:rsidR="004F6FE6">
        <w:t>E</w:t>
      </w:r>
      <w:r w:rsidR="00667879">
        <w:t xml:space="preserve">xercise of </w:t>
      </w:r>
      <w:r w:rsidR="004F6FE6">
        <w:t>R</w:t>
      </w:r>
      <w:r w:rsidR="00667879">
        <w:t xml:space="preserve">eligion </w:t>
      </w:r>
      <w:r w:rsidR="004F6FE6">
        <w:t>C</w:t>
      </w:r>
      <w:r w:rsidR="001717B4">
        <w:t xml:space="preserve">lauses </w:t>
      </w:r>
      <w:r w:rsidR="00667879">
        <w:t xml:space="preserve">of </w:t>
      </w:r>
      <w:r w:rsidRPr="00356ED0" w:rsidR="00345959">
        <w:t xml:space="preserve">both </w:t>
      </w:r>
      <w:r w:rsidR="00667879">
        <w:t xml:space="preserve">the </w:t>
      </w:r>
      <w:r w:rsidRPr="00356ED0">
        <w:t>United States and Ohio</w:t>
      </w:r>
      <w:r w:rsidR="001717B4">
        <w:t xml:space="preserve"> </w:t>
      </w:r>
      <w:r w:rsidR="004F6FE6">
        <w:t>C</w:t>
      </w:r>
      <w:r w:rsidR="001717B4">
        <w:t>onstitutions.</w:t>
      </w:r>
      <w:r w:rsidRPr="00356ED0">
        <w:t xml:space="preserve"> </w:t>
      </w:r>
      <w:r w:rsidR="008A5F03">
        <w:t>HUC</w:t>
      </w:r>
      <w:r w:rsidRPr="00356ED0">
        <w:t xml:space="preserve"> easily satisfies both elements</w:t>
      </w:r>
      <w:r w:rsidR="00172C01">
        <w:t xml:space="preserve"> </w:t>
      </w:r>
      <w:r w:rsidR="001F3E47">
        <w:t xml:space="preserve">of </w:t>
      </w:r>
      <w:r w:rsidR="00AD7DB2">
        <w:t xml:space="preserve">its </w:t>
      </w:r>
      <w:r w:rsidR="00172C01">
        <w:t>prima facie case</w:t>
      </w:r>
      <w:r w:rsidRPr="00356ED0">
        <w:t>. HUC’s beliefs regarding rabbinical education are sincerely held</w:t>
      </w:r>
      <w:r w:rsidR="001F3E47">
        <w:t>,</w:t>
      </w:r>
      <w:r w:rsidR="00CD215A">
        <w:t xml:space="preserve"> </w:t>
      </w:r>
      <w:r w:rsidR="00172C01">
        <w:t xml:space="preserve">as </w:t>
      </w:r>
      <w:r w:rsidRPr="00356ED0" w:rsidR="00172C01">
        <w:t>training</w:t>
      </w:r>
      <w:r w:rsidRPr="00356ED0">
        <w:t xml:space="preserve"> rabbis is central to the Jewish religion</w:t>
      </w:r>
      <w:r w:rsidR="008A5F03">
        <w:t xml:space="preserve"> and core to its mission</w:t>
      </w:r>
      <w:r w:rsidRPr="00356ED0">
        <w:t xml:space="preserve">. </w:t>
      </w:r>
      <w:r w:rsidRPr="00356ED0">
        <w:rPr>
          <w:i/>
          <w:iCs/>
        </w:rPr>
        <w:t>See Our Lady of Guadalupe Sch</w:t>
      </w:r>
      <w:r w:rsidR="003E4EA9">
        <w:rPr>
          <w:i/>
          <w:iCs/>
        </w:rPr>
        <w:t>.</w:t>
      </w:r>
      <w:r w:rsidRPr="00356ED0">
        <w:rPr>
          <w:i/>
          <w:iCs/>
        </w:rPr>
        <w:t xml:space="preserve"> v. Morrissey-Berru</w:t>
      </w:r>
      <w:r w:rsidRPr="00356ED0">
        <w:t>, 591 U.S. 732, 755 (2020)</w:t>
      </w:r>
      <w:r w:rsidRPr="00356ED0">
        <w:rPr>
          <w:i/>
          <w:iCs/>
        </w:rPr>
        <w:t xml:space="preserve"> </w:t>
      </w:r>
      <w:r w:rsidRPr="00356ED0">
        <w:t xml:space="preserve">(“Religious education is a matter of central importance in Judaism.”); </w:t>
      </w:r>
      <w:r w:rsidRPr="00356ED0">
        <w:rPr>
          <w:i/>
          <w:iCs/>
        </w:rPr>
        <w:t>see also Bontrager</w:t>
      </w:r>
      <w:r w:rsidRPr="00356ED0">
        <w:t xml:space="preserve">, </w:t>
      </w:r>
      <w:r w:rsidRPr="003E4EA9" w:rsidR="003E4EA9">
        <w:t xml:space="preserve">114 Ohio App. 3d </w:t>
      </w:r>
      <w:r w:rsidR="003E4EA9">
        <w:t xml:space="preserve">at </w:t>
      </w:r>
      <w:r w:rsidRPr="003E4EA9" w:rsidR="003E4EA9">
        <w:t>37</w:t>
      </w:r>
      <w:r w:rsidR="003E4EA9">
        <w:t>4</w:t>
      </w:r>
      <w:r w:rsidRPr="003E4EA9" w:rsidR="003E4EA9">
        <w:t xml:space="preserve"> </w:t>
      </w:r>
      <w:r w:rsidRPr="00356ED0">
        <w:t xml:space="preserve">(distinguishing education as a “basic belief of a religion”). Additionally, the </w:t>
      </w:r>
      <w:r w:rsidR="00CD215A">
        <w:t>AG’s Complaint</w:t>
      </w:r>
      <w:r w:rsidRPr="00356ED0">
        <w:t xml:space="preserve"> directly interferes with HUC’s ability to carry out this central tenet of </w:t>
      </w:r>
      <w:r w:rsidR="008A5F03">
        <w:t>the Jewish</w:t>
      </w:r>
      <w:r w:rsidRPr="00356ED0">
        <w:t xml:space="preserve"> religion. The </w:t>
      </w:r>
      <w:r w:rsidR="00CD215A">
        <w:t>AG</w:t>
      </w:r>
      <w:r w:rsidRPr="00356ED0">
        <w:t xml:space="preserve"> </w:t>
      </w:r>
      <w:r w:rsidR="00E24A8A">
        <w:t xml:space="preserve">seeks </w:t>
      </w:r>
      <w:r w:rsidR="003E4EA9">
        <w:t xml:space="preserve">to substantially take over </w:t>
      </w:r>
      <w:r w:rsidR="00172C01">
        <w:t xml:space="preserve">the HUC rabbinical program, including its </w:t>
      </w:r>
      <w:r w:rsidR="00C53EE4">
        <w:t xml:space="preserve">Ohio-centered </w:t>
      </w:r>
      <w:r w:rsidR="00172C01">
        <w:t xml:space="preserve">finances. The AG </w:t>
      </w:r>
      <w:r w:rsidR="003E4EA9">
        <w:t xml:space="preserve">demands </w:t>
      </w:r>
      <w:r w:rsidR="00172C01">
        <w:t>to put H</w:t>
      </w:r>
      <w:r w:rsidRPr="00356ED0">
        <w:t>UC</w:t>
      </w:r>
      <w:r w:rsidR="003E4EA9">
        <w:t>—or at least a substantial portion of its assets—</w:t>
      </w:r>
      <w:r w:rsidRPr="00356ED0">
        <w:t xml:space="preserve"> </w:t>
      </w:r>
      <w:r w:rsidR="00172C01">
        <w:t>into receivership, with him as receiver</w:t>
      </w:r>
      <w:r w:rsidR="00667879">
        <w:t xml:space="preserve">, </w:t>
      </w:r>
      <w:r w:rsidR="001F3E47">
        <w:t xml:space="preserve">so that </w:t>
      </w:r>
      <w:r w:rsidR="00667879">
        <w:t xml:space="preserve">he </w:t>
      </w:r>
      <w:r w:rsidR="001F3E47">
        <w:t xml:space="preserve">can </w:t>
      </w:r>
      <w:r w:rsidR="00667879">
        <w:t xml:space="preserve">determine how and where to train future rabbis and leaders of the Reform </w:t>
      </w:r>
      <w:r w:rsidR="006416CF">
        <w:t xml:space="preserve">Jewish </w:t>
      </w:r>
      <w:r w:rsidR="00667879">
        <w:t>movement</w:t>
      </w:r>
      <w:r w:rsidR="004F6FE6">
        <w:t xml:space="preserve">. </w:t>
      </w:r>
      <w:r w:rsidR="00667879">
        <w:t xml:space="preserve"> </w:t>
      </w:r>
      <w:r w:rsidRPr="00356ED0">
        <w:t xml:space="preserve">This </w:t>
      </w:r>
      <w:r w:rsidR="00667879">
        <w:t xml:space="preserve">is government coercion of religious teaching that </w:t>
      </w:r>
      <w:r w:rsidRPr="00356ED0">
        <w:t>has a direct effect (or, at least a tangential one) on HUC</w:t>
      </w:r>
      <w:r w:rsidR="007B0165">
        <w:t>’</w:t>
      </w:r>
      <w:r w:rsidRPr="00356ED0">
        <w:t xml:space="preserve">s free exercise of religion. </w:t>
      </w:r>
    </w:p>
    <w:p w:rsidR="001717B4" w:rsidP="00CB5321" w14:paraId="4A017992" w14:textId="129E2FC6">
      <w:pPr>
        <w:pStyle w:val="BodyText"/>
      </w:pPr>
      <w:r>
        <w:rPr>
          <w:rFonts w:eastAsia="Times New Roman"/>
          <w:color w:val="000000"/>
        </w:rPr>
        <w:t xml:space="preserve">Further, </w:t>
      </w:r>
      <w:r w:rsidRPr="00356ED0" w:rsidR="00356ED0">
        <w:rPr>
          <w:rFonts w:eastAsia="Times New Roman"/>
          <w:color w:val="000000"/>
        </w:rPr>
        <w:t xml:space="preserve">the </w:t>
      </w:r>
      <w:r w:rsidR="00403A55">
        <w:rPr>
          <w:rFonts w:eastAsia="Times New Roman"/>
          <w:color w:val="000000"/>
        </w:rPr>
        <w:t>AG</w:t>
      </w:r>
      <w:r>
        <w:rPr>
          <w:rFonts w:eastAsia="Times New Roman"/>
          <w:color w:val="000000"/>
        </w:rPr>
        <w:t>’s takeover attempt of HUC</w:t>
      </w:r>
      <w:r w:rsidRPr="00356ED0" w:rsidR="00403A55">
        <w:rPr>
          <w:rFonts w:eastAsia="Times New Roman"/>
          <w:color w:val="000000"/>
        </w:rPr>
        <w:t xml:space="preserve"> </w:t>
      </w:r>
      <w:r w:rsidRPr="00356ED0" w:rsidR="00356ED0">
        <w:rPr>
          <w:rFonts w:eastAsia="Times New Roman"/>
          <w:color w:val="000000"/>
        </w:rPr>
        <w:t>cannot withstand strict scrutiny.</w:t>
      </w:r>
      <w:r w:rsidRPr="00356ED0" w:rsidR="00356ED0">
        <w:t xml:space="preserve"> </w:t>
      </w:r>
      <w:r>
        <w:t xml:space="preserve">The AG’s </w:t>
      </w:r>
      <w:r w:rsidRPr="00356ED0">
        <w:t>interest</w:t>
      </w:r>
      <w:r w:rsidRPr="00356ED0" w:rsidR="00356ED0">
        <w:t xml:space="preserve"> in regulating charitable trusts</w:t>
      </w:r>
      <w:r>
        <w:t xml:space="preserve"> is</w:t>
      </w:r>
      <w:r w:rsidRPr="00356ED0" w:rsidR="00356ED0">
        <w:t xml:space="preserve"> not compelling here</w:t>
      </w:r>
      <w:r>
        <w:t xml:space="preserve">, as it is not </w:t>
      </w:r>
      <w:r w:rsidRPr="00356ED0" w:rsidR="00356ED0">
        <w:t xml:space="preserve">an interest of the “highest order.”  The </w:t>
      </w:r>
      <w:r w:rsidR="00000752">
        <w:t>Complaint</w:t>
      </w:r>
      <w:r w:rsidRPr="00356ED0" w:rsidR="00000752">
        <w:t xml:space="preserve"> </w:t>
      </w:r>
      <w:r w:rsidRPr="00356ED0" w:rsidR="00356ED0">
        <w:t xml:space="preserve">is not aimed at promoting health, safety, or the general welfare. </w:t>
      </w:r>
      <w:r>
        <w:t xml:space="preserve">Those words and concepts </w:t>
      </w:r>
      <w:r w:rsidR="00E24A8A">
        <w:t xml:space="preserve">do not appear </w:t>
      </w:r>
      <w:r>
        <w:t xml:space="preserve">in the Complaint. The Complaint </w:t>
      </w:r>
      <w:r w:rsidR="000F2148">
        <w:t xml:space="preserve">seeks to force </w:t>
      </w:r>
      <w:r w:rsidRPr="00356ED0" w:rsidR="00356ED0">
        <w:t>HUC to “permanently maintain a rabbinical school in Cincinnati”</w:t>
      </w:r>
      <w:r>
        <w:t xml:space="preserve"> and </w:t>
      </w:r>
      <w:r w:rsidR="005D3F51">
        <w:t xml:space="preserve">seeks </w:t>
      </w:r>
      <w:r>
        <w:t xml:space="preserve">to take control of its funds </w:t>
      </w:r>
      <w:r w:rsidR="005D3F51">
        <w:t xml:space="preserve">for </w:t>
      </w:r>
      <w:r>
        <w:t>that purpose.</w:t>
      </w:r>
      <w:r w:rsidRPr="00356ED0" w:rsidR="00356ED0">
        <w:t xml:space="preserve"> </w:t>
      </w:r>
      <w:r w:rsidR="005D3F51">
        <w:t>(</w:t>
      </w:r>
      <w:r w:rsidRPr="00356ED0" w:rsidR="00356ED0">
        <w:t xml:space="preserve">Compl. </w:t>
      </w:r>
      <w:r w:rsidR="003E4EA9">
        <w:rPr>
          <w:sz w:val="26"/>
          <w:szCs w:val="26"/>
        </w:rPr>
        <w:t>¶</w:t>
      </w:r>
      <w:r w:rsidRPr="00356ED0" w:rsidR="00356ED0">
        <w:rPr>
          <w:rFonts w:ascii="Engravers MT" w:hAnsi="Engravers MT"/>
        </w:rPr>
        <w:t>¶</w:t>
      </w:r>
      <w:r w:rsidRPr="00356ED0" w:rsidR="00356ED0">
        <w:t xml:space="preserve"> 2</w:t>
      </w:r>
      <w:r w:rsidR="003E4EA9">
        <w:t>–3</w:t>
      </w:r>
      <w:r w:rsidRPr="00356ED0" w:rsidR="00356ED0">
        <w:t>.</w:t>
      </w:r>
      <w:r w:rsidR="005D3F51">
        <w:t>)</w:t>
      </w:r>
      <w:r w:rsidRPr="00356ED0" w:rsidR="00356ED0">
        <w:t xml:space="preserve"> This interest purportedly serves </w:t>
      </w:r>
      <w:r w:rsidRPr="00356ED0" w:rsidR="005D3F51">
        <w:t xml:space="preserve">only </w:t>
      </w:r>
      <w:r w:rsidRPr="00356ED0" w:rsidR="00356ED0">
        <w:t>those who disagree with HUC</w:t>
      </w:r>
      <w:r w:rsidR="007B0165">
        <w:t>’</w:t>
      </w:r>
      <w:r w:rsidRPr="00356ED0" w:rsidR="00356ED0">
        <w:t xml:space="preserve">s informed decision to </w:t>
      </w:r>
      <w:r>
        <w:t>end the Cincinnati rabbinical program. The AG does not allege,</w:t>
      </w:r>
      <w:r w:rsidR="006948AE">
        <w:t xml:space="preserve"> nor could he, </w:t>
      </w:r>
      <w:r>
        <w:t xml:space="preserve">that the safety, security and welfare of the state </w:t>
      </w:r>
      <w:r w:rsidR="006948AE">
        <w:t>depend</w:t>
      </w:r>
      <w:r>
        <w:t xml:space="preserve"> on the success of his takeover attempt. </w:t>
      </w:r>
    </w:p>
    <w:p w:rsidR="003E4EA9" w:rsidP="003E4EA9" w14:paraId="0FEB487D" w14:textId="2214948B">
      <w:pPr>
        <w:pStyle w:val="BodyText"/>
      </w:pPr>
      <w:r>
        <w:t xml:space="preserve">Moreover, </w:t>
      </w:r>
      <w:r w:rsidR="006416CF">
        <w:t xml:space="preserve">on its face </w:t>
      </w:r>
      <w:r>
        <w:t xml:space="preserve">the </w:t>
      </w:r>
      <w:r w:rsidR="00000752">
        <w:t>Complaint does not employ</w:t>
      </w:r>
      <w:r>
        <w:t xml:space="preserve"> </w:t>
      </w:r>
      <w:r w:rsidRPr="00356ED0" w:rsidR="00356ED0">
        <w:t>the least</w:t>
      </w:r>
      <w:r w:rsidR="00212905">
        <w:t>-</w:t>
      </w:r>
      <w:r w:rsidRPr="00356ED0" w:rsidR="00356ED0">
        <w:t xml:space="preserve">restrictive means </w:t>
      </w:r>
      <w:r w:rsidR="00000752">
        <w:t xml:space="preserve">to </w:t>
      </w:r>
      <w:r>
        <w:t xml:space="preserve">accomplish the AG’s ostensible objectives in bringing this case. </w:t>
      </w:r>
      <w:r>
        <w:t>Even if the AG’s interest in regulating charitable trusts were compelling (which it is not), he could accomplish that objective through less-restrictive means.  His concerns about HUC’s use of restricted funds could easily be assuaged by a gift-by-gift inquiry, seeking to impos</w:t>
      </w:r>
      <w:r w:rsidR="006416CF">
        <w:t>e</w:t>
      </w:r>
      <w:r>
        <w:t xml:space="preserve"> a constructive trust over only those funds stemming </w:t>
      </w:r>
      <w:r w:rsidR="00920E84">
        <w:t xml:space="preserve">from </w:t>
      </w:r>
      <w:r w:rsidR="006416CF">
        <w:t xml:space="preserve">any gifts found to be restricted to the permanent operation of a residential rabbinical school in Cincinnati. </w:t>
      </w:r>
      <w:r>
        <w:t>Instead, he pursues a near-complete takeover. Similarly, the AG</w:t>
      </w:r>
      <w:r w:rsidRPr="00356ED0">
        <w:t xml:space="preserve"> could </w:t>
      </w:r>
      <w:r>
        <w:t xml:space="preserve">have chosen to </w:t>
      </w:r>
      <w:r w:rsidRPr="00356ED0">
        <w:t xml:space="preserve">resolve this matter in probate court, </w:t>
      </w:r>
      <w:r>
        <w:t>if HUC determined it was necessary to seek revision of any of its</w:t>
      </w:r>
      <w:r w:rsidRPr="00356ED0">
        <w:t xml:space="preserve"> restricted charitable gifts under the doctrines of cy pres and/or deviation. </w:t>
      </w:r>
      <w:r w:rsidR="002D1123">
        <w:t xml:space="preserve"> Put simply, the AG is using a sledgehammer where a scalpel would do.</w:t>
      </w:r>
    </w:p>
    <w:p w:rsidR="003E4EA9" w:rsidRPr="00356ED0" w:rsidP="003E4EA9" w14:paraId="15789820" w14:textId="422A9014">
      <w:pPr>
        <w:pStyle w:val="BodyText"/>
      </w:pPr>
      <w:r>
        <w:t xml:space="preserve">That the Complaint offers speculation, rather than factual allegations, only underscores the AG’s </w:t>
      </w:r>
      <w:r w:rsidR="002D1123">
        <w:t>failure to employ the least-restrictive means</w:t>
      </w:r>
      <w:r>
        <w:t xml:space="preserve">. The AG fails to identify a single donation restricted to </w:t>
      </w:r>
      <w:r w:rsidR="006416CF">
        <w:t xml:space="preserve">permanent </w:t>
      </w:r>
      <w:r>
        <w:t xml:space="preserve">maintenance of the Cincinnati-based rabbinical program—much less one that HUC improperly redirected for another purpose. </w:t>
      </w:r>
      <w:r w:rsidR="002D1123">
        <w:t xml:space="preserve">And he had ample opportunity to do so. HUC’s Board resolved to end </w:t>
      </w:r>
      <w:r>
        <w:t xml:space="preserve">the Cincinnati rabbinical program </w:t>
      </w:r>
      <w:r w:rsidR="002D1123">
        <w:t xml:space="preserve">in April 2022.  Since then, HUC has provided extensive documentation in response to the AG’s requests. Yet rather than identify any restricted gifts that HUC diverted, </w:t>
      </w:r>
      <w:r>
        <w:t>the AG</w:t>
      </w:r>
      <w:r w:rsidRPr="00DE765E">
        <w:t xml:space="preserve"> </w:t>
      </w:r>
      <w:r w:rsidR="002D1123">
        <w:t xml:space="preserve">simply speculates that they exist. </w:t>
      </w:r>
      <w:r>
        <w:t>The AG’s authority to regulate charitable trusts does not extend to rank speculation.</w:t>
      </w:r>
      <w:r w:rsidR="006948AE">
        <w:t xml:space="preserve"> </w:t>
      </w:r>
      <w:r w:rsidRPr="00356ED0">
        <w:t xml:space="preserve">For these reasons, the </w:t>
      </w:r>
      <w:r>
        <w:t>AG</w:t>
      </w:r>
      <w:r w:rsidRPr="00356ED0">
        <w:t>’s Complaint fails</w:t>
      </w:r>
      <w:r>
        <w:t xml:space="preserve"> to withstand</w:t>
      </w:r>
      <w:r w:rsidRPr="00356ED0">
        <w:t xml:space="preserve"> strict scrutiny, and this Court should dismiss it </w:t>
      </w:r>
      <w:r>
        <w:t>as it violates the F</w:t>
      </w:r>
      <w:r w:rsidRPr="001A5F33">
        <w:t xml:space="preserve">ree </w:t>
      </w:r>
      <w:r>
        <w:t>E</w:t>
      </w:r>
      <w:r w:rsidRPr="001A5F33">
        <w:t xml:space="preserve">xercise </w:t>
      </w:r>
      <w:r>
        <w:t>C</w:t>
      </w:r>
      <w:r w:rsidRPr="001A5F33">
        <w:t>lause</w:t>
      </w:r>
      <w:r>
        <w:t>s</w:t>
      </w:r>
      <w:r w:rsidRPr="001A5F33">
        <w:t xml:space="preserve"> of the </w:t>
      </w:r>
      <w:r>
        <w:t xml:space="preserve">United States and </w:t>
      </w:r>
      <w:r w:rsidRPr="001A5F33">
        <w:t>Ohio Constitution</w:t>
      </w:r>
      <w:r>
        <w:t xml:space="preserve">s. </w:t>
      </w:r>
    </w:p>
    <w:p w:rsidR="00356ED0" w:rsidRPr="00356ED0" w:rsidP="001A5F33" w14:paraId="08476DCE" w14:textId="130F7BB2">
      <w:pPr>
        <w:keepNext/>
        <w:numPr>
          <w:ilvl w:val="2"/>
          <w:numId w:val="5"/>
        </w:numPr>
        <w:tabs>
          <w:tab w:val="num" w:pos="360"/>
        </w:tabs>
        <w:ind w:left="2160"/>
        <w:outlineLvl w:val="2"/>
        <w:rPr>
          <w:rFonts w:eastAsia="Calibri" w:cstheme="majorBidi"/>
          <w:b/>
          <w:bCs/>
          <w:kern w:val="2"/>
          <w14:ligatures w14:val="standardContextual"/>
        </w:rPr>
      </w:pPr>
      <w:r w:rsidRPr="00356ED0">
        <w:rPr>
          <w:rFonts w:eastAsia="Calibri" w:cstheme="majorBidi"/>
          <w:b/>
          <w:bCs/>
          <w:kern w:val="2"/>
          <w14:ligatures w14:val="standardContextual"/>
        </w:rPr>
        <w:t xml:space="preserve">The Attorney General’s Action </w:t>
      </w:r>
      <w:r w:rsidR="00426BB1">
        <w:rPr>
          <w:rFonts w:eastAsia="Calibri" w:cstheme="majorBidi"/>
          <w:b/>
          <w:bCs/>
          <w:kern w:val="2"/>
          <w14:ligatures w14:val="standardContextual"/>
        </w:rPr>
        <w:t>V</w:t>
      </w:r>
      <w:r w:rsidRPr="00356ED0">
        <w:rPr>
          <w:rFonts w:eastAsia="Calibri" w:cstheme="majorBidi"/>
          <w:b/>
          <w:bCs/>
          <w:kern w:val="2"/>
          <w14:ligatures w14:val="standardContextual"/>
        </w:rPr>
        <w:t>iolates the Establishment Clause</w:t>
      </w:r>
      <w:r w:rsidR="007B0165">
        <w:rPr>
          <w:rFonts w:eastAsia="Calibri" w:cstheme="majorBidi"/>
          <w:b/>
          <w:bCs/>
          <w:kern w:val="2"/>
          <w14:ligatures w14:val="standardContextual"/>
        </w:rPr>
        <w:t>s</w:t>
      </w:r>
      <w:r w:rsidRPr="00356ED0">
        <w:rPr>
          <w:rFonts w:eastAsia="Calibri" w:cstheme="majorBidi"/>
          <w:b/>
          <w:bCs/>
          <w:kern w:val="2"/>
          <w14:ligatures w14:val="standardContextual"/>
        </w:rPr>
        <w:t xml:space="preserve"> of </w:t>
      </w:r>
      <w:r w:rsidRPr="00356ED0" w:rsidR="00426BB1">
        <w:rPr>
          <w:rFonts w:eastAsia="Calibri" w:cstheme="majorBidi"/>
          <w:b/>
          <w:bCs/>
          <w:kern w:val="2"/>
          <w14:ligatures w14:val="standardContextual"/>
        </w:rPr>
        <w:t>the United</w:t>
      </w:r>
      <w:r w:rsidRPr="00356ED0">
        <w:rPr>
          <w:rFonts w:eastAsia="Calibri" w:cstheme="majorBidi"/>
          <w:b/>
          <w:bCs/>
          <w:kern w:val="2"/>
          <w14:ligatures w14:val="standardContextual"/>
        </w:rPr>
        <w:t xml:space="preserve"> States </w:t>
      </w:r>
      <w:r w:rsidR="00426BB1">
        <w:rPr>
          <w:rFonts w:eastAsia="Calibri" w:cstheme="majorBidi"/>
          <w:b/>
          <w:bCs/>
          <w:kern w:val="2"/>
          <w14:ligatures w14:val="standardContextual"/>
        </w:rPr>
        <w:t xml:space="preserve">and Ohio </w:t>
      </w:r>
      <w:r w:rsidRPr="00356ED0">
        <w:rPr>
          <w:rFonts w:eastAsia="Calibri" w:cstheme="majorBidi"/>
          <w:b/>
          <w:bCs/>
          <w:kern w:val="2"/>
          <w14:ligatures w14:val="standardContextual"/>
        </w:rPr>
        <w:t>Constitution</w:t>
      </w:r>
      <w:r w:rsidR="00426BB1">
        <w:rPr>
          <w:rFonts w:eastAsia="Calibri" w:cstheme="majorBidi"/>
          <w:b/>
          <w:bCs/>
          <w:kern w:val="2"/>
          <w14:ligatures w14:val="standardContextual"/>
        </w:rPr>
        <w:t>s</w:t>
      </w:r>
      <w:r w:rsidRPr="00356ED0">
        <w:rPr>
          <w:rFonts w:eastAsia="Calibri" w:cstheme="majorBidi"/>
          <w:b/>
          <w:bCs/>
          <w:kern w:val="2"/>
          <w14:ligatures w14:val="standardContextual"/>
        </w:rPr>
        <w:t>.</w:t>
      </w:r>
    </w:p>
    <w:p w:rsidR="00356ED0" w:rsidRPr="00356ED0" w:rsidP="00CB5321" w14:paraId="374C35CD" w14:textId="5E2C19EC">
      <w:pPr>
        <w:pStyle w:val="BodyText"/>
      </w:pPr>
      <w:r w:rsidRPr="00356ED0">
        <w:t xml:space="preserve">The </w:t>
      </w:r>
      <w:r w:rsidR="001A5F33">
        <w:t>AG</w:t>
      </w:r>
      <w:r w:rsidRPr="00356ED0">
        <w:t xml:space="preserve">’s Complaint also violates the </w:t>
      </w:r>
      <w:r w:rsidR="00724D25">
        <w:t>E</w:t>
      </w:r>
      <w:r w:rsidRPr="00356ED0">
        <w:t xml:space="preserve">stablishment </w:t>
      </w:r>
      <w:r w:rsidR="00724D25">
        <w:t>C</w:t>
      </w:r>
      <w:r w:rsidRPr="00356ED0">
        <w:t xml:space="preserve">lause of the First Amendment to the United States Constitution and Article I, Section 7 of the Ohio Constitution. The United States Constitution prohibits any law that establishes </w:t>
      </w:r>
      <w:r w:rsidR="00D637B7">
        <w:t xml:space="preserve">a </w:t>
      </w:r>
      <w:r w:rsidRPr="00356ED0">
        <w:t xml:space="preserve">religion. </w:t>
      </w:r>
      <w:r w:rsidRPr="00356ED0">
        <w:rPr>
          <w:smallCaps/>
        </w:rPr>
        <w:t xml:space="preserve">U.S. Const. </w:t>
      </w:r>
      <w:r w:rsidRPr="00356ED0">
        <w:t xml:space="preserve">amends. I, XIV. Ohio’s </w:t>
      </w:r>
      <w:r w:rsidR="00426BB1">
        <w:t>e</w:t>
      </w:r>
      <w:r w:rsidRPr="00356ED0">
        <w:t xml:space="preserve">stablishment </w:t>
      </w:r>
      <w:r w:rsidR="00426BB1">
        <w:t>c</w:t>
      </w:r>
      <w:r w:rsidRPr="00356ED0">
        <w:t xml:space="preserve">lause, like its Free Exercise Clause, is more expansive than its federal counterpart.  </w:t>
      </w:r>
      <w:r w:rsidRPr="00356ED0">
        <w:rPr>
          <w:i/>
          <w:iCs/>
        </w:rPr>
        <w:t>S</w:t>
      </w:r>
      <w:r w:rsidRPr="00356ED0">
        <w:rPr>
          <w:rFonts w:eastAsiaTheme="minorHAnsi"/>
          <w:i/>
          <w:iCs/>
        </w:rPr>
        <w:t xml:space="preserve">ee </w:t>
      </w:r>
      <w:r w:rsidRPr="00356ED0">
        <w:rPr>
          <w:i/>
          <w:iCs/>
        </w:rPr>
        <w:t>Simmons-Harris v. Goff</w:t>
      </w:r>
      <w:r w:rsidRPr="00356ED0">
        <w:t xml:space="preserve">, 86 Ohio St. 3d 1, 10 (1999) (“There is no reason to conclude that the Religion Clauses of the Ohio Constitution are coextensive with those in the United States Constitution, though they have at times been discussed in tandem.”); </w:t>
      </w:r>
      <w:r w:rsidRPr="00356ED0">
        <w:rPr>
          <w:i/>
          <w:iCs/>
        </w:rPr>
        <w:t>Humphrey</w:t>
      </w:r>
      <w:r w:rsidRPr="00356ED0">
        <w:t xml:space="preserve">, 89 Ohio St. at 66–68. </w:t>
      </w:r>
      <w:r w:rsidR="00961A8D">
        <w:t>While</w:t>
      </w:r>
      <w:r w:rsidRPr="00356ED0" w:rsidR="00961A8D">
        <w:t xml:space="preserve"> </w:t>
      </w:r>
      <w:r w:rsidRPr="00356ED0">
        <w:t xml:space="preserve">the federal Constitution prohibits laws that </w:t>
      </w:r>
      <w:r w:rsidRPr="00356ED0">
        <w:rPr>
          <w:i/>
          <w:iCs/>
        </w:rPr>
        <w:t>establish</w:t>
      </w:r>
      <w:r w:rsidRPr="00356ED0">
        <w:t xml:space="preserve"> religion, Ohio’s </w:t>
      </w:r>
      <w:r w:rsidR="00724D25">
        <w:t>E</w:t>
      </w:r>
      <w:r w:rsidRPr="00356ED0">
        <w:t xml:space="preserve">stablishment </w:t>
      </w:r>
      <w:r w:rsidR="00724D25">
        <w:t>C</w:t>
      </w:r>
      <w:r w:rsidRPr="00356ED0">
        <w:t xml:space="preserve">lause prohibits state action that simply “preference[s]” religion. </w:t>
      </w:r>
      <w:r w:rsidRPr="00356ED0">
        <w:rPr>
          <w:rFonts w:eastAsiaTheme="minorHAnsi"/>
          <w:smallCaps/>
        </w:rPr>
        <w:t>Ohio Const</w:t>
      </w:r>
      <w:r w:rsidRPr="00356ED0">
        <w:rPr>
          <w:rFonts w:eastAsiaTheme="minorHAnsi"/>
        </w:rPr>
        <w:t>., art I, § 7.</w:t>
      </w:r>
      <w:r w:rsidRPr="00356ED0">
        <w:t xml:space="preserve"> Additionally, the Ohio </w:t>
      </w:r>
      <w:r w:rsidR="00426BB1">
        <w:t>c</w:t>
      </w:r>
      <w:r w:rsidRPr="00356ED0">
        <w:t>onstitution</w:t>
      </w:r>
      <w:r w:rsidR="00426BB1">
        <w:t>al</w:t>
      </w:r>
      <w:r w:rsidRPr="00356ED0">
        <w:t xml:space="preserve"> prohibition against “any interference with the rights of conscience” applies in the </w:t>
      </w:r>
      <w:r w:rsidR="00724D25">
        <w:t>E</w:t>
      </w:r>
      <w:r w:rsidRPr="00356ED0">
        <w:t xml:space="preserve">stablishment </w:t>
      </w:r>
      <w:r w:rsidR="00724D25">
        <w:t>C</w:t>
      </w:r>
      <w:r w:rsidRPr="00356ED0">
        <w:t xml:space="preserve">lause context as well as the </w:t>
      </w:r>
      <w:r w:rsidR="00724D25">
        <w:t>F</w:t>
      </w:r>
      <w:r w:rsidRPr="00356ED0">
        <w:t xml:space="preserve">ree </w:t>
      </w:r>
      <w:r w:rsidR="00724D25">
        <w:t>Ex</w:t>
      </w:r>
      <w:r w:rsidRPr="00356ED0">
        <w:t xml:space="preserve">ercise </w:t>
      </w:r>
      <w:r w:rsidR="00724D25">
        <w:t xml:space="preserve">Clause </w:t>
      </w:r>
      <w:r w:rsidRPr="00356ED0">
        <w:t xml:space="preserve">context. </w:t>
      </w:r>
      <w:r w:rsidRPr="00356ED0">
        <w:rPr>
          <w:i/>
          <w:iCs/>
        </w:rPr>
        <w:t>See Simmons-Harris</w:t>
      </w:r>
      <w:r w:rsidRPr="00356ED0">
        <w:t>, 86 Ohio St. at 10.</w:t>
      </w:r>
    </w:p>
    <w:p w:rsidR="00356ED0" w:rsidRPr="00356ED0" w:rsidP="00CB5321" w14:paraId="01B8DBA2" w14:textId="7A8EEF0B">
      <w:pPr>
        <w:pStyle w:val="BodyText"/>
      </w:pPr>
      <w:r w:rsidRPr="00356ED0">
        <w:t xml:space="preserve">Governmental action violates Ohio’s </w:t>
      </w:r>
      <w:r w:rsidR="007B0165">
        <w:t>E</w:t>
      </w:r>
      <w:r w:rsidRPr="00356ED0">
        <w:t xml:space="preserve">stablishment </w:t>
      </w:r>
      <w:r w:rsidR="007B0165">
        <w:t>C</w:t>
      </w:r>
      <w:r w:rsidRPr="00356ED0">
        <w:t xml:space="preserve">lause when it excessively entangles government with religion. To survive an </w:t>
      </w:r>
      <w:r w:rsidR="007B0165">
        <w:t>E</w:t>
      </w:r>
      <w:r w:rsidRPr="00356ED0">
        <w:t xml:space="preserve">stablishment </w:t>
      </w:r>
      <w:r w:rsidR="007B0165">
        <w:t>C</w:t>
      </w:r>
      <w:r w:rsidRPr="00356ED0">
        <w:t xml:space="preserve">lause challenge under Ohio law, the relevant government action must (1) have a secular purpose, (2) neither advance nor inhibit religion, and (3) not excessively entangle government with religion. </w:t>
      </w:r>
      <w:r w:rsidRPr="00356ED0">
        <w:rPr>
          <w:i/>
          <w:iCs/>
        </w:rPr>
        <w:t>Simmons-Harris</w:t>
      </w:r>
      <w:r w:rsidRPr="00356ED0">
        <w:t xml:space="preserve">, 86 Ohio St. 3d at 4, 10 (applying the federal test articulated in </w:t>
      </w:r>
      <w:r w:rsidRPr="00356ED0">
        <w:rPr>
          <w:i/>
          <w:iCs/>
        </w:rPr>
        <w:t>Lemon v. Kurtzman</w:t>
      </w:r>
      <w:r w:rsidRPr="00356ED0">
        <w:t>, 403 U.S. 602 (1971) to the Ohio Constitution).</w:t>
      </w:r>
      <w:r>
        <w:rPr>
          <w:vertAlign w:val="superscript"/>
        </w:rPr>
        <w:footnoteReference w:id="7"/>
      </w:r>
      <w:r w:rsidRPr="00356ED0">
        <w:t xml:space="preserve">  </w:t>
      </w:r>
    </w:p>
    <w:p w:rsidR="00356ED0" w:rsidRPr="00356ED0" w:rsidP="00CB5321" w14:paraId="2BCE8761" w14:textId="16F4F86B">
      <w:pPr>
        <w:pStyle w:val="BodyText"/>
      </w:pPr>
      <w:r w:rsidRPr="00356ED0">
        <w:t xml:space="preserve">Here, the </w:t>
      </w:r>
      <w:r w:rsidR="00D637B7">
        <w:t>AG</w:t>
      </w:r>
      <w:r w:rsidRPr="00356ED0">
        <w:t xml:space="preserve">’s </w:t>
      </w:r>
      <w:r w:rsidR="00D637B7">
        <w:t>Complaint</w:t>
      </w:r>
      <w:r w:rsidRPr="00356ED0" w:rsidR="00D637B7">
        <w:t xml:space="preserve"> </w:t>
      </w:r>
      <w:r w:rsidRPr="00356ED0">
        <w:t xml:space="preserve">violates the </w:t>
      </w:r>
      <w:r w:rsidR="007B0165">
        <w:t>E</w:t>
      </w:r>
      <w:r w:rsidRPr="00356ED0">
        <w:t xml:space="preserve">stablishment </w:t>
      </w:r>
      <w:r w:rsidR="007B0165">
        <w:t>C</w:t>
      </w:r>
      <w:r w:rsidRPr="00356ED0">
        <w:t xml:space="preserve">lause. </w:t>
      </w:r>
      <w:r w:rsidRPr="00CB5321" w:rsidR="00A35CB8">
        <w:rPr>
          <w:rStyle w:val="BodyTextChar"/>
        </w:rPr>
        <w:t>T</w:t>
      </w:r>
      <w:r w:rsidRPr="00CB5321">
        <w:rPr>
          <w:rStyle w:val="BodyTextChar"/>
        </w:rPr>
        <w:t xml:space="preserve">he </w:t>
      </w:r>
      <w:r w:rsidRPr="00CB5321" w:rsidR="00D637B7">
        <w:rPr>
          <w:rStyle w:val="BodyTextChar"/>
        </w:rPr>
        <w:t>AG</w:t>
      </w:r>
      <w:r w:rsidRPr="00CB5321">
        <w:rPr>
          <w:rStyle w:val="BodyTextChar"/>
        </w:rPr>
        <w:t xml:space="preserve"> </w:t>
      </w:r>
      <w:r w:rsidRPr="00CB5321" w:rsidR="00FD32ED">
        <w:rPr>
          <w:rStyle w:val="BodyTextChar"/>
        </w:rPr>
        <w:t>allege</w:t>
      </w:r>
      <w:r w:rsidR="00123F86">
        <w:rPr>
          <w:rStyle w:val="BodyTextChar"/>
        </w:rPr>
        <w:t>s</w:t>
      </w:r>
      <w:r w:rsidRPr="00CB5321" w:rsidR="00FD32ED">
        <w:rPr>
          <w:rStyle w:val="BodyTextChar"/>
        </w:rPr>
        <w:t xml:space="preserve"> </w:t>
      </w:r>
      <w:r w:rsidR="00123F86">
        <w:rPr>
          <w:rStyle w:val="BodyTextChar"/>
        </w:rPr>
        <w:t xml:space="preserve">no </w:t>
      </w:r>
      <w:r w:rsidRPr="00CB5321" w:rsidR="00A35CB8">
        <w:rPr>
          <w:rStyle w:val="BodyTextChar"/>
        </w:rPr>
        <w:t xml:space="preserve">facts </w:t>
      </w:r>
      <w:r w:rsidR="00123F86">
        <w:rPr>
          <w:rStyle w:val="BodyTextChar"/>
        </w:rPr>
        <w:t xml:space="preserve">suggesting </w:t>
      </w:r>
      <w:r w:rsidRPr="00CB5321">
        <w:rPr>
          <w:rStyle w:val="BodyTextChar"/>
        </w:rPr>
        <w:t xml:space="preserve">that the </w:t>
      </w:r>
      <w:r w:rsidRPr="00CB5321" w:rsidR="00D637B7">
        <w:rPr>
          <w:rStyle w:val="BodyTextChar"/>
        </w:rPr>
        <w:t>causes of action and remedies sought in</w:t>
      </w:r>
      <w:r w:rsidRPr="00CB5321">
        <w:rPr>
          <w:rStyle w:val="BodyTextChar"/>
        </w:rPr>
        <w:t xml:space="preserve"> the </w:t>
      </w:r>
      <w:r w:rsidRPr="00CB5321" w:rsidR="00D637B7">
        <w:rPr>
          <w:rStyle w:val="BodyTextChar"/>
        </w:rPr>
        <w:t>Complaint are</w:t>
      </w:r>
      <w:r w:rsidRPr="00CB5321">
        <w:rPr>
          <w:rStyle w:val="BodyTextChar"/>
        </w:rPr>
        <w:t xml:space="preserve"> secular.</w:t>
      </w:r>
      <w:r w:rsidRPr="00356ED0">
        <w:t xml:space="preserve"> </w:t>
      </w:r>
      <w:r w:rsidR="002D1123">
        <w:t xml:space="preserve">Despite the AG’s attempts to cloak his claims </w:t>
      </w:r>
      <w:r w:rsidR="00A35CB8">
        <w:t xml:space="preserve">with </w:t>
      </w:r>
      <w:r w:rsidR="002D1123">
        <w:t xml:space="preserve">a </w:t>
      </w:r>
      <w:r w:rsidR="00A35CB8">
        <w:t xml:space="preserve">patina of </w:t>
      </w:r>
      <w:r w:rsidR="00F65C0C">
        <w:t>charitable trust</w:t>
      </w:r>
      <w:r w:rsidR="00A35CB8">
        <w:t xml:space="preserve"> oversight</w:t>
      </w:r>
      <w:r w:rsidR="002D1123">
        <w:t>, this case, at its core, is about religion</w:t>
      </w:r>
      <w:r w:rsidR="00A35CB8">
        <w:t xml:space="preserve">. </w:t>
      </w:r>
      <w:r w:rsidR="002D1123">
        <w:t xml:space="preserve">The AG </w:t>
      </w:r>
      <w:r w:rsidR="00A35CB8">
        <w:t xml:space="preserve">challenges and seeks to overturn the decision to end the </w:t>
      </w:r>
      <w:r w:rsidR="00CD3106">
        <w:t xml:space="preserve">permanent </w:t>
      </w:r>
      <w:r w:rsidR="00A35CB8">
        <w:t xml:space="preserve">Cincinnati rabbinical school, thus directly thrusting himself into the administration of the HUC </w:t>
      </w:r>
      <w:r w:rsidR="00FD32ED">
        <w:t>rabbinical</w:t>
      </w:r>
      <w:r w:rsidR="00754267">
        <w:t>-</w:t>
      </w:r>
      <w:r w:rsidR="00FD32ED">
        <w:t xml:space="preserve">training </w:t>
      </w:r>
      <w:r w:rsidR="00A35CB8">
        <w:t xml:space="preserve">program. He seeks control </w:t>
      </w:r>
      <w:r w:rsidR="00F65C0C">
        <w:t>over</w:t>
      </w:r>
      <w:r w:rsidR="00A35CB8">
        <w:t xml:space="preserve"> </w:t>
      </w:r>
      <w:r w:rsidR="0090606A">
        <w:t>all</w:t>
      </w:r>
      <w:r w:rsidR="00352120">
        <w:t xml:space="preserve"> </w:t>
      </w:r>
      <w:r w:rsidR="002D1123">
        <w:t>HUC’s Ohio-</w:t>
      </w:r>
      <w:r w:rsidR="00352120">
        <w:t>related</w:t>
      </w:r>
      <w:r w:rsidR="002D1123">
        <w:t xml:space="preserve"> assets </w:t>
      </w:r>
      <w:r w:rsidR="00A35CB8">
        <w:t xml:space="preserve">to </w:t>
      </w:r>
      <w:r w:rsidR="00352120">
        <w:t xml:space="preserve">prop up </w:t>
      </w:r>
      <w:r w:rsidR="00A35CB8">
        <w:t xml:space="preserve">the Cincinnati </w:t>
      </w:r>
      <w:r w:rsidR="008C542B">
        <w:t xml:space="preserve">rabbinical </w:t>
      </w:r>
      <w:r w:rsidR="00A35CB8">
        <w:t>school</w:t>
      </w:r>
      <w:r w:rsidR="00352120">
        <w:t>.  (</w:t>
      </w:r>
      <w:r w:rsidRPr="00356ED0" w:rsidR="00352120">
        <w:t>Compl. ¶ 2.</w:t>
      </w:r>
      <w:r w:rsidR="00352120">
        <w:t>) And he does so</w:t>
      </w:r>
      <w:r w:rsidR="00A35CB8">
        <w:t xml:space="preserve"> </w:t>
      </w:r>
      <w:r w:rsidR="00352120">
        <w:t xml:space="preserve">despite </w:t>
      </w:r>
      <w:r w:rsidR="007B0165">
        <w:t xml:space="preserve">the </w:t>
      </w:r>
      <w:r w:rsidR="0006456A">
        <w:t xml:space="preserve">HUC Board’s </w:t>
      </w:r>
      <w:r w:rsidR="007B0165">
        <w:t xml:space="preserve">supermajority vote </w:t>
      </w:r>
      <w:r w:rsidR="00A35CB8">
        <w:t xml:space="preserve">to close </w:t>
      </w:r>
      <w:r w:rsidR="00352120">
        <w:t xml:space="preserve">the school </w:t>
      </w:r>
      <w:r w:rsidR="00A35CB8">
        <w:t xml:space="preserve">so </w:t>
      </w:r>
      <w:r w:rsidR="0006456A">
        <w:t xml:space="preserve">that HUC can </w:t>
      </w:r>
      <w:r w:rsidR="00352120">
        <w:t xml:space="preserve">adapt </w:t>
      </w:r>
      <w:r w:rsidR="007B0165">
        <w:t xml:space="preserve">to </w:t>
      </w:r>
      <w:r w:rsidR="00A35CB8">
        <w:t xml:space="preserve">the </w:t>
      </w:r>
      <w:r w:rsidR="00724D25">
        <w:t>changes in Jewish seminary education and population in this country</w:t>
      </w:r>
      <w:r w:rsidR="00352120">
        <w:t>, thereby fu</w:t>
      </w:r>
      <w:r w:rsidR="00F65C0C">
        <w:t>lfilling</w:t>
      </w:r>
      <w:r w:rsidR="00352120">
        <w:t xml:space="preserve"> its religious mission</w:t>
      </w:r>
      <w:r w:rsidR="00FD32ED">
        <w:t>.</w:t>
      </w:r>
      <w:r w:rsidRPr="00356ED0">
        <w:t xml:space="preserve"> </w:t>
      </w:r>
      <w:r w:rsidR="008C542B">
        <w:t xml:space="preserve">Consequently, </w:t>
      </w:r>
      <w:r w:rsidR="004E64A8">
        <w:t>t</w:t>
      </w:r>
      <w:r w:rsidRPr="00356ED0">
        <w:t xml:space="preserve">he </w:t>
      </w:r>
      <w:r w:rsidR="008C542B">
        <w:t xml:space="preserve">AG </w:t>
      </w:r>
      <w:r w:rsidRPr="00356ED0">
        <w:t xml:space="preserve">cannot </w:t>
      </w:r>
      <w:r w:rsidR="008C542B">
        <w:t xml:space="preserve">meet </w:t>
      </w:r>
      <w:r w:rsidRPr="00356ED0">
        <w:t xml:space="preserve">the first element of the </w:t>
      </w:r>
      <w:r w:rsidRPr="00356ED0">
        <w:rPr>
          <w:i/>
          <w:iCs/>
        </w:rPr>
        <w:t>Lemon</w:t>
      </w:r>
      <w:r w:rsidRPr="00356ED0">
        <w:t xml:space="preserve"> test.</w:t>
      </w:r>
    </w:p>
    <w:p w:rsidR="00356ED0" w:rsidRPr="00356ED0" w:rsidP="00356ED0" w14:paraId="2D2C708E" w14:textId="52CEF09B">
      <w:pPr>
        <w:spacing w:after="0" w:line="480" w:lineRule="auto"/>
        <w:ind w:firstLine="720"/>
        <w:contextualSpacing/>
        <w:rPr>
          <w:rFonts w:eastAsia="Times New Roman"/>
          <w:color w:val="000000"/>
        </w:rPr>
      </w:pPr>
      <w:r>
        <w:rPr>
          <w:rFonts w:eastAsia="Times New Roman"/>
          <w:color w:val="000000"/>
        </w:rPr>
        <w:t xml:space="preserve">The </w:t>
      </w:r>
      <w:r w:rsidRPr="008C542B" w:rsidR="008F4953">
        <w:rPr>
          <w:rFonts w:eastAsia="Times New Roman"/>
          <w:i/>
          <w:iCs/>
          <w:color w:val="000000"/>
        </w:rPr>
        <w:t>Lemon</w:t>
      </w:r>
      <w:r w:rsidR="008F4953">
        <w:rPr>
          <w:rFonts w:eastAsia="Times New Roman"/>
          <w:color w:val="000000"/>
        </w:rPr>
        <w:t xml:space="preserve"> test’s </w:t>
      </w:r>
      <w:r>
        <w:rPr>
          <w:rFonts w:eastAsia="Times New Roman"/>
          <w:color w:val="000000"/>
        </w:rPr>
        <w:t xml:space="preserve">second element also defeats the AG’s claims. </w:t>
      </w:r>
      <w:r w:rsidRPr="00356ED0">
        <w:rPr>
          <w:rFonts w:eastAsia="Times New Roman"/>
          <w:color w:val="000000"/>
        </w:rPr>
        <w:t>The</w:t>
      </w:r>
      <w:r w:rsidRPr="00356ED0">
        <w:rPr>
          <w:rFonts w:eastAsia="Times New Roman"/>
          <w:color w:val="000000"/>
        </w:rPr>
        <w:t xml:space="preserve"> </w:t>
      </w:r>
      <w:r w:rsidR="00004F1A">
        <w:rPr>
          <w:rFonts w:eastAsia="Times New Roman"/>
          <w:color w:val="000000"/>
        </w:rPr>
        <w:t xml:space="preserve">Complaint’s </w:t>
      </w:r>
      <w:r w:rsidRPr="00356ED0">
        <w:rPr>
          <w:rFonts w:eastAsia="Times New Roman"/>
          <w:color w:val="000000"/>
        </w:rPr>
        <w:t>primary effect inhibit</w:t>
      </w:r>
      <w:r w:rsidR="004C7950">
        <w:rPr>
          <w:rFonts w:eastAsia="Times New Roman"/>
          <w:color w:val="000000"/>
        </w:rPr>
        <w:t>s</w:t>
      </w:r>
      <w:r w:rsidRPr="00356ED0">
        <w:rPr>
          <w:rFonts w:eastAsia="Times New Roman"/>
          <w:color w:val="000000"/>
        </w:rPr>
        <w:t xml:space="preserve"> religion</w:t>
      </w:r>
      <w:r w:rsidR="00004F1A">
        <w:rPr>
          <w:rFonts w:eastAsia="Times New Roman"/>
          <w:color w:val="000000"/>
        </w:rPr>
        <w:t>,</w:t>
      </w:r>
      <w:r w:rsidRPr="00356ED0">
        <w:rPr>
          <w:rFonts w:eastAsia="Times New Roman"/>
          <w:color w:val="000000"/>
        </w:rPr>
        <w:t xml:space="preserve"> </w:t>
      </w:r>
      <w:r w:rsidR="004C7950">
        <w:rPr>
          <w:rFonts w:eastAsia="Times New Roman"/>
          <w:color w:val="000000"/>
        </w:rPr>
        <w:t>as it sends</w:t>
      </w:r>
      <w:r w:rsidRPr="00356ED0">
        <w:rPr>
          <w:rFonts w:eastAsia="Times New Roman"/>
          <w:color w:val="000000"/>
        </w:rPr>
        <w:t xml:space="preserve"> a message that the government is permitted to encroach upon core religious decisions. The </w:t>
      </w:r>
      <w:r w:rsidR="004C7950">
        <w:rPr>
          <w:rFonts w:eastAsia="Times New Roman"/>
          <w:color w:val="000000"/>
        </w:rPr>
        <w:t>Complaint</w:t>
      </w:r>
      <w:r w:rsidRPr="00356ED0" w:rsidR="004C7950">
        <w:rPr>
          <w:rFonts w:eastAsia="Times New Roman"/>
          <w:color w:val="000000"/>
        </w:rPr>
        <w:t xml:space="preserve"> </w:t>
      </w:r>
      <w:r w:rsidRPr="00356ED0">
        <w:rPr>
          <w:rFonts w:eastAsia="Times New Roman"/>
          <w:color w:val="000000"/>
        </w:rPr>
        <w:t xml:space="preserve">seeks to </w:t>
      </w:r>
      <w:r w:rsidR="00024C38">
        <w:rPr>
          <w:rFonts w:eastAsia="Times New Roman"/>
          <w:color w:val="000000"/>
        </w:rPr>
        <w:t xml:space="preserve">override </w:t>
      </w:r>
      <w:r w:rsidRPr="00356ED0">
        <w:rPr>
          <w:rFonts w:eastAsia="Times New Roman"/>
          <w:color w:val="000000"/>
        </w:rPr>
        <w:t>a religious institution</w:t>
      </w:r>
      <w:r w:rsidR="00024C38">
        <w:rPr>
          <w:rFonts w:eastAsia="Times New Roman"/>
          <w:color w:val="000000"/>
        </w:rPr>
        <w:t>’s</w:t>
      </w:r>
      <w:r w:rsidRPr="00356ED0">
        <w:rPr>
          <w:rFonts w:eastAsia="Times New Roman"/>
          <w:color w:val="000000"/>
        </w:rPr>
        <w:t xml:space="preserve"> decisions about how and where it fulfills a core religious tenet—training future rabbis. By wresting that decision from HUC and placing </w:t>
      </w:r>
      <w:r w:rsidR="00352120">
        <w:rPr>
          <w:rFonts w:eastAsia="Times New Roman"/>
          <w:color w:val="000000"/>
        </w:rPr>
        <w:t xml:space="preserve">its assets </w:t>
      </w:r>
      <w:r w:rsidRPr="00356ED0">
        <w:rPr>
          <w:rFonts w:eastAsia="Times New Roman"/>
          <w:color w:val="000000"/>
        </w:rPr>
        <w:t xml:space="preserve">within the government’s control, the </w:t>
      </w:r>
      <w:r w:rsidR="00474D49">
        <w:rPr>
          <w:rFonts w:eastAsia="Times New Roman"/>
          <w:color w:val="000000"/>
        </w:rPr>
        <w:t>Complaint</w:t>
      </w:r>
      <w:r w:rsidRPr="00356ED0" w:rsidR="00474D49">
        <w:rPr>
          <w:rFonts w:eastAsia="Times New Roman"/>
          <w:color w:val="000000"/>
        </w:rPr>
        <w:t xml:space="preserve"> </w:t>
      </w:r>
      <w:r w:rsidRPr="00356ED0">
        <w:rPr>
          <w:rFonts w:eastAsia="Times New Roman"/>
          <w:color w:val="000000"/>
        </w:rPr>
        <w:t xml:space="preserve">seeks to advance the </w:t>
      </w:r>
      <w:r w:rsidR="00474D49">
        <w:rPr>
          <w:rFonts w:eastAsia="Times New Roman"/>
          <w:color w:val="000000"/>
        </w:rPr>
        <w:t>AG</w:t>
      </w:r>
      <w:r w:rsidRPr="00356ED0">
        <w:rPr>
          <w:rFonts w:eastAsia="Times New Roman"/>
          <w:color w:val="000000"/>
        </w:rPr>
        <w:t>’s formulation of HUC</w:t>
      </w:r>
      <w:r w:rsidR="007B0165">
        <w:rPr>
          <w:rFonts w:eastAsia="Times New Roman"/>
          <w:color w:val="000000"/>
        </w:rPr>
        <w:t>’</w:t>
      </w:r>
      <w:r w:rsidRPr="00356ED0">
        <w:rPr>
          <w:rFonts w:eastAsia="Times New Roman"/>
          <w:color w:val="000000"/>
        </w:rPr>
        <w:t xml:space="preserve">s religious purpose. In effect, </w:t>
      </w:r>
      <w:r w:rsidR="00490A29">
        <w:rPr>
          <w:rFonts w:eastAsia="Times New Roman"/>
          <w:color w:val="000000"/>
        </w:rPr>
        <w:t xml:space="preserve">therefore, </w:t>
      </w:r>
      <w:r w:rsidRPr="00356ED0">
        <w:rPr>
          <w:rFonts w:eastAsia="Times New Roman"/>
          <w:color w:val="000000"/>
        </w:rPr>
        <w:t xml:space="preserve">the </w:t>
      </w:r>
      <w:r w:rsidR="00474D49">
        <w:rPr>
          <w:rFonts w:eastAsia="Times New Roman"/>
          <w:color w:val="000000"/>
        </w:rPr>
        <w:t>Complaint</w:t>
      </w:r>
      <w:r w:rsidRPr="00356ED0" w:rsidR="00474D49">
        <w:rPr>
          <w:rFonts w:eastAsia="Times New Roman"/>
          <w:color w:val="000000"/>
        </w:rPr>
        <w:t xml:space="preserve"> </w:t>
      </w:r>
      <w:r w:rsidR="00474D49">
        <w:rPr>
          <w:rFonts w:eastAsia="Times New Roman"/>
          <w:color w:val="000000"/>
        </w:rPr>
        <w:t xml:space="preserve">seeks to </w:t>
      </w:r>
      <w:r w:rsidRPr="00356ED0">
        <w:rPr>
          <w:rFonts w:eastAsia="Times New Roman"/>
          <w:color w:val="000000"/>
        </w:rPr>
        <w:t xml:space="preserve">inhibit </w:t>
      </w:r>
      <w:r w:rsidR="00490A29">
        <w:rPr>
          <w:rFonts w:eastAsia="Times New Roman"/>
          <w:color w:val="000000"/>
        </w:rPr>
        <w:t xml:space="preserve">the practice of </w:t>
      </w:r>
      <w:r w:rsidRPr="00356ED0">
        <w:rPr>
          <w:rFonts w:eastAsia="Times New Roman"/>
          <w:color w:val="000000"/>
        </w:rPr>
        <w:t>Judaism</w:t>
      </w:r>
      <w:r w:rsidR="00490A29">
        <w:rPr>
          <w:rFonts w:eastAsia="Times New Roman"/>
          <w:color w:val="000000"/>
        </w:rPr>
        <w:t xml:space="preserve"> by intruding upon the training of those who will lead religious practice</w:t>
      </w:r>
      <w:r w:rsidRPr="00356ED0">
        <w:rPr>
          <w:rFonts w:eastAsia="Times New Roman"/>
          <w:color w:val="000000"/>
        </w:rPr>
        <w:t xml:space="preserve">.  </w:t>
      </w:r>
    </w:p>
    <w:p w:rsidR="00490A29" w:rsidP="00356ED0" w14:paraId="39378BFF" w14:textId="67F150CF">
      <w:pPr>
        <w:spacing w:after="0" w:line="480" w:lineRule="auto"/>
        <w:ind w:firstLine="720"/>
        <w:contextualSpacing/>
        <w:rPr>
          <w:rFonts w:eastAsia="Times New Roman"/>
          <w:color w:val="000000"/>
        </w:rPr>
      </w:pPr>
      <w:r>
        <w:rPr>
          <w:rFonts w:eastAsia="Times New Roman"/>
          <w:color w:val="000000"/>
        </w:rPr>
        <w:t xml:space="preserve">Finally, </w:t>
      </w:r>
      <w:r w:rsidRPr="00356ED0" w:rsidR="00356ED0">
        <w:rPr>
          <w:rFonts w:eastAsia="Times New Roman"/>
          <w:color w:val="000000"/>
        </w:rPr>
        <w:t xml:space="preserve">and most importantly, the </w:t>
      </w:r>
      <w:r w:rsidR="00474D49">
        <w:rPr>
          <w:rFonts w:eastAsia="Times New Roman"/>
          <w:color w:val="000000"/>
        </w:rPr>
        <w:t>AG</w:t>
      </w:r>
      <w:r w:rsidRPr="00356ED0" w:rsidR="00356ED0">
        <w:rPr>
          <w:rFonts w:eastAsia="Times New Roman"/>
          <w:color w:val="000000"/>
        </w:rPr>
        <w:t xml:space="preserve">’s attempt to gain full </w:t>
      </w:r>
      <w:r>
        <w:rPr>
          <w:rFonts w:eastAsia="Times New Roman"/>
          <w:color w:val="000000"/>
        </w:rPr>
        <w:t xml:space="preserve">control </w:t>
      </w:r>
      <w:r w:rsidRPr="00356ED0" w:rsidR="00356ED0">
        <w:rPr>
          <w:rFonts w:eastAsia="Times New Roman"/>
          <w:color w:val="000000"/>
        </w:rPr>
        <w:t xml:space="preserve">of </w:t>
      </w:r>
      <w:r>
        <w:rPr>
          <w:rFonts w:eastAsia="Times New Roman"/>
          <w:color w:val="000000"/>
        </w:rPr>
        <w:t xml:space="preserve">the </w:t>
      </w:r>
      <w:r w:rsidRPr="00356ED0" w:rsidR="00356ED0">
        <w:rPr>
          <w:rFonts w:eastAsia="Times New Roman"/>
          <w:color w:val="000000"/>
        </w:rPr>
        <w:t>HUC</w:t>
      </w:r>
      <w:r>
        <w:rPr>
          <w:rFonts w:eastAsia="Times New Roman"/>
          <w:color w:val="000000"/>
        </w:rPr>
        <w:t xml:space="preserve"> rabbinical program and finances</w:t>
      </w:r>
      <w:r w:rsidRPr="00356ED0" w:rsidR="00356ED0">
        <w:rPr>
          <w:rFonts w:eastAsia="Times New Roman"/>
          <w:color w:val="000000"/>
        </w:rPr>
        <w:t xml:space="preserve"> would excessively entangle the government with HUC’s religious affairs. HUC has a constitutional right to teach and train students seeking to become rabbis without government interference. </w:t>
      </w:r>
      <w:r w:rsidR="00CD1208">
        <w:rPr>
          <w:rFonts w:eastAsia="Times New Roman"/>
          <w:color w:val="000000"/>
        </w:rPr>
        <w:t xml:space="preserve">The </w:t>
      </w:r>
      <w:r w:rsidR="00474D49">
        <w:rPr>
          <w:rFonts w:eastAsia="Times New Roman"/>
          <w:color w:val="000000"/>
        </w:rPr>
        <w:t>AG</w:t>
      </w:r>
      <w:r w:rsidRPr="00356ED0" w:rsidR="00356ED0">
        <w:rPr>
          <w:rFonts w:eastAsia="Times New Roman"/>
          <w:color w:val="000000"/>
        </w:rPr>
        <w:t xml:space="preserve"> seeks direct control over the rabbinic program by </w:t>
      </w:r>
      <w:r>
        <w:rPr>
          <w:rFonts w:eastAsia="Times New Roman"/>
          <w:color w:val="000000"/>
        </w:rPr>
        <w:t xml:space="preserve">reversing the decision to close the Cincinnati rabbinical school by </w:t>
      </w:r>
      <w:r w:rsidRPr="00356ED0" w:rsidR="00356ED0">
        <w:rPr>
          <w:rFonts w:eastAsia="Times New Roman"/>
          <w:color w:val="000000"/>
        </w:rPr>
        <w:t xml:space="preserve">either reforming its charitable trust or imposing a constructive trust over HUC’s assets. </w:t>
      </w:r>
      <w:r w:rsidR="00294E78">
        <w:rPr>
          <w:rFonts w:eastAsia="Times New Roman"/>
          <w:color w:val="000000"/>
        </w:rPr>
        <w:t>That</w:t>
      </w:r>
      <w:r w:rsidRPr="00356ED0" w:rsidR="00294E78">
        <w:rPr>
          <w:rFonts w:eastAsia="Times New Roman"/>
          <w:color w:val="000000"/>
        </w:rPr>
        <w:t xml:space="preserve"> </w:t>
      </w:r>
      <w:r w:rsidRPr="00356ED0" w:rsidR="00356ED0">
        <w:rPr>
          <w:rFonts w:eastAsia="Times New Roman"/>
          <w:color w:val="000000"/>
        </w:rPr>
        <w:t xml:space="preserve">relief would grant the government decision-making authority over the institution’s </w:t>
      </w:r>
      <w:r>
        <w:rPr>
          <w:rFonts w:eastAsia="Times New Roman"/>
          <w:color w:val="000000"/>
        </w:rPr>
        <w:t xml:space="preserve">affairs and </w:t>
      </w:r>
      <w:r w:rsidRPr="00356ED0" w:rsidR="00356ED0">
        <w:rPr>
          <w:rFonts w:eastAsia="Times New Roman"/>
          <w:color w:val="000000"/>
        </w:rPr>
        <w:t>finances, which would restrain or eliminate HUC</w:t>
      </w:r>
      <w:r w:rsidR="00C13BC9">
        <w:rPr>
          <w:rFonts w:eastAsia="Times New Roman"/>
          <w:color w:val="000000"/>
        </w:rPr>
        <w:t>’</w:t>
      </w:r>
      <w:r w:rsidRPr="00356ED0" w:rsidR="00356ED0">
        <w:rPr>
          <w:rFonts w:eastAsia="Times New Roman"/>
          <w:color w:val="000000"/>
        </w:rPr>
        <w:t>s ability to make independent decisions regarding training rabbis.</w:t>
      </w:r>
    </w:p>
    <w:p w:rsidR="00356ED0" w:rsidP="00356ED0" w14:paraId="1CE6B9AD" w14:textId="3DE759E2">
      <w:pPr>
        <w:spacing w:after="0" w:line="480" w:lineRule="auto"/>
        <w:ind w:firstLine="720"/>
        <w:contextualSpacing/>
        <w:rPr>
          <w:rFonts w:eastAsia="Times New Roman"/>
          <w:color w:val="000000"/>
        </w:rPr>
      </w:pPr>
      <w:r>
        <w:rPr>
          <w:rFonts w:eastAsia="Times New Roman"/>
          <w:color w:val="000000"/>
        </w:rPr>
        <w:t>Even worse, the Complaint</w:t>
      </w:r>
      <w:r w:rsidRPr="00356ED0">
        <w:rPr>
          <w:rFonts w:eastAsia="Times New Roman"/>
          <w:color w:val="000000"/>
        </w:rPr>
        <w:t xml:space="preserve"> aims to proactively assess the purpose of the religious trust and distribute its assets to other religious organization</w:t>
      </w:r>
      <w:r w:rsidR="00352120">
        <w:rPr>
          <w:rFonts w:eastAsia="Times New Roman"/>
          <w:color w:val="000000"/>
        </w:rPr>
        <w:t>s</w:t>
      </w:r>
      <w:r w:rsidRPr="00356ED0">
        <w:rPr>
          <w:rFonts w:eastAsia="Times New Roman"/>
          <w:color w:val="000000"/>
        </w:rPr>
        <w:t xml:space="preserve"> accordingly. </w:t>
      </w:r>
      <w:r w:rsidR="00641622">
        <w:rPr>
          <w:rFonts w:eastAsia="Times New Roman"/>
          <w:color w:val="000000"/>
        </w:rPr>
        <w:t>(</w:t>
      </w:r>
      <w:r w:rsidRPr="00356ED0">
        <w:rPr>
          <w:rFonts w:eastAsia="Times New Roman"/>
          <w:color w:val="000000"/>
        </w:rPr>
        <w:t>Compl. at 15.</w:t>
      </w:r>
      <w:r w:rsidR="00641622">
        <w:rPr>
          <w:rFonts w:eastAsia="Times New Roman"/>
          <w:color w:val="000000"/>
        </w:rPr>
        <w:t>)</w:t>
      </w:r>
      <w:r>
        <w:rPr>
          <w:rStyle w:val="FootnoteReference"/>
          <w:rFonts w:eastAsia="Times New Roman"/>
          <w:color w:val="000000"/>
        </w:rPr>
        <w:footnoteReference w:id="8"/>
      </w:r>
      <w:r w:rsidRPr="00356ED0">
        <w:rPr>
          <w:rFonts w:eastAsia="Times New Roman"/>
          <w:color w:val="000000"/>
        </w:rPr>
        <w:t xml:space="preserve">  In effect, the </w:t>
      </w:r>
      <w:r w:rsidR="00474D49">
        <w:rPr>
          <w:rFonts w:eastAsia="Times New Roman"/>
          <w:color w:val="000000"/>
        </w:rPr>
        <w:t>AG</w:t>
      </w:r>
      <w:r w:rsidRPr="00356ED0">
        <w:rPr>
          <w:rFonts w:eastAsia="Times New Roman"/>
          <w:color w:val="000000"/>
        </w:rPr>
        <w:t xml:space="preserve"> endeavors to decide which religious institution</w:t>
      </w:r>
      <w:r w:rsidR="00352120">
        <w:rPr>
          <w:rFonts w:eastAsia="Times New Roman"/>
          <w:color w:val="000000"/>
        </w:rPr>
        <w:t>s</w:t>
      </w:r>
      <w:r w:rsidRPr="00356ED0">
        <w:rPr>
          <w:rFonts w:eastAsia="Times New Roman"/>
          <w:color w:val="000000"/>
        </w:rPr>
        <w:t xml:space="preserve"> </w:t>
      </w:r>
      <w:r w:rsidR="00352120">
        <w:rPr>
          <w:rFonts w:eastAsia="Times New Roman"/>
          <w:color w:val="000000"/>
        </w:rPr>
        <w:t xml:space="preserve">are </w:t>
      </w:r>
      <w:r w:rsidRPr="00356ED0">
        <w:rPr>
          <w:rFonts w:eastAsia="Times New Roman"/>
          <w:color w:val="000000"/>
        </w:rPr>
        <w:t xml:space="preserve">worthy of receiving </w:t>
      </w:r>
      <w:r w:rsidR="00474D49">
        <w:rPr>
          <w:rFonts w:eastAsia="Times New Roman"/>
          <w:color w:val="000000"/>
        </w:rPr>
        <w:t>HUC</w:t>
      </w:r>
      <w:r w:rsidR="00C13BC9">
        <w:rPr>
          <w:rFonts w:eastAsia="Times New Roman"/>
          <w:color w:val="000000"/>
        </w:rPr>
        <w:t>’</w:t>
      </w:r>
      <w:r w:rsidR="00474D49">
        <w:rPr>
          <w:rFonts w:eastAsia="Times New Roman"/>
          <w:color w:val="000000"/>
        </w:rPr>
        <w:t>s</w:t>
      </w:r>
      <w:r w:rsidRPr="00356ED0">
        <w:rPr>
          <w:rFonts w:eastAsia="Times New Roman"/>
          <w:color w:val="000000"/>
        </w:rPr>
        <w:t xml:space="preserve"> assets.</w:t>
      </w:r>
      <w:r w:rsidR="00D40B31">
        <w:rPr>
          <w:rFonts w:eastAsia="Times New Roman"/>
          <w:color w:val="000000"/>
        </w:rPr>
        <w:t xml:space="preserve"> The </w:t>
      </w:r>
      <w:r w:rsidR="00352120">
        <w:rPr>
          <w:rFonts w:eastAsia="Times New Roman"/>
          <w:color w:val="000000"/>
        </w:rPr>
        <w:t>AG</w:t>
      </w:r>
      <w:r w:rsidR="00D40B31">
        <w:rPr>
          <w:rFonts w:eastAsia="Times New Roman"/>
          <w:color w:val="000000"/>
        </w:rPr>
        <w:t xml:space="preserve">, therefore, seeks not only to take over the HUC rabbinical program and </w:t>
      </w:r>
      <w:r w:rsidR="00CD3106">
        <w:rPr>
          <w:rFonts w:eastAsia="Times New Roman"/>
          <w:color w:val="000000"/>
        </w:rPr>
        <w:t xml:space="preserve">Ohio </w:t>
      </w:r>
      <w:r w:rsidR="00D40B31">
        <w:rPr>
          <w:rFonts w:eastAsia="Times New Roman"/>
          <w:color w:val="000000"/>
        </w:rPr>
        <w:t>assets, but also to declare winners and losers going forward when it comes to rabbinical training and funding</w:t>
      </w:r>
      <w:r>
        <w:rPr>
          <w:rFonts w:eastAsia="Times New Roman"/>
          <w:color w:val="000000"/>
        </w:rPr>
        <w:t>.</w:t>
      </w:r>
      <w:r w:rsidR="00D40B31">
        <w:rPr>
          <w:rFonts w:eastAsia="Times New Roman"/>
          <w:color w:val="000000"/>
        </w:rPr>
        <w:t xml:space="preserve"> </w:t>
      </w:r>
      <w:r w:rsidRPr="00356ED0">
        <w:rPr>
          <w:rFonts w:eastAsia="Times New Roman"/>
          <w:color w:val="000000"/>
        </w:rPr>
        <w:t xml:space="preserve">This </w:t>
      </w:r>
      <w:r w:rsidR="00D40B31">
        <w:rPr>
          <w:rFonts w:eastAsia="Times New Roman"/>
          <w:color w:val="000000"/>
        </w:rPr>
        <w:t xml:space="preserve">is </w:t>
      </w:r>
      <w:r w:rsidR="00B0667D">
        <w:rPr>
          <w:rFonts w:eastAsia="Times New Roman"/>
          <w:color w:val="000000"/>
        </w:rPr>
        <w:t xml:space="preserve">a </w:t>
      </w:r>
      <w:r w:rsidR="00605833">
        <w:rPr>
          <w:rFonts w:eastAsia="Times New Roman"/>
          <w:color w:val="000000"/>
        </w:rPr>
        <w:t>frightening</w:t>
      </w:r>
      <w:r w:rsidR="00D40B31">
        <w:rPr>
          <w:rFonts w:eastAsia="Times New Roman"/>
          <w:color w:val="000000"/>
        </w:rPr>
        <w:t xml:space="preserve"> </w:t>
      </w:r>
      <w:r w:rsidRPr="00356ED0">
        <w:rPr>
          <w:rFonts w:eastAsia="Times New Roman"/>
          <w:color w:val="000000"/>
        </w:rPr>
        <w:t>entangle</w:t>
      </w:r>
      <w:r w:rsidR="00D40B31">
        <w:rPr>
          <w:rFonts w:eastAsia="Times New Roman"/>
          <w:color w:val="000000"/>
        </w:rPr>
        <w:t>ment of</w:t>
      </w:r>
      <w:r w:rsidRPr="00356ED0">
        <w:rPr>
          <w:rFonts w:eastAsia="Times New Roman"/>
          <w:color w:val="000000"/>
        </w:rPr>
        <w:t xml:space="preserve"> the government in the affairs of a religious institution. </w:t>
      </w:r>
      <w:r w:rsidR="00D40B31">
        <w:rPr>
          <w:rFonts w:eastAsia="Times New Roman"/>
          <w:color w:val="000000"/>
        </w:rPr>
        <w:t>It cannot be permitted and t</w:t>
      </w:r>
      <w:r w:rsidRPr="00356ED0">
        <w:rPr>
          <w:rFonts w:eastAsia="Times New Roman"/>
          <w:color w:val="000000"/>
        </w:rPr>
        <w:t xml:space="preserve">he Court should therefore dismiss the Attorney General’s Complaint on </w:t>
      </w:r>
      <w:r w:rsidR="00C13BC9">
        <w:rPr>
          <w:rFonts w:eastAsia="Times New Roman"/>
          <w:color w:val="000000"/>
        </w:rPr>
        <w:t>E</w:t>
      </w:r>
      <w:r w:rsidRPr="00356ED0">
        <w:rPr>
          <w:rFonts w:eastAsia="Times New Roman"/>
          <w:color w:val="000000"/>
        </w:rPr>
        <w:t xml:space="preserve">stablishment </w:t>
      </w:r>
      <w:r w:rsidR="00C13BC9">
        <w:rPr>
          <w:rFonts w:eastAsia="Times New Roman"/>
          <w:color w:val="000000"/>
        </w:rPr>
        <w:t>C</w:t>
      </w:r>
      <w:r w:rsidRPr="00356ED0">
        <w:rPr>
          <w:rFonts w:eastAsia="Times New Roman"/>
          <w:color w:val="000000"/>
        </w:rPr>
        <w:t>lause grounds.</w:t>
      </w:r>
    </w:p>
    <w:p w:rsidR="00356ED0" w:rsidP="00356ED0" w14:paraId="414BB080" w14:textId="2D968479">
      <w:pPr>
        <w:pStyle w:val="Heading2"/>
      </w:pPr>
      <w:r>
        <w:t xml:space="preserve">Beyond </w:t>
      </w:r>
      <w:r w:rsidR="00380386">
        <w:t>T</w:t>
      </w:r>
      <w:r>
        <w:t xml:space="preserve">renching upon </w:t>
      </w:r>
      <w:r w:rsidR="00380386">
        <w:t>R</w:t>
      </w:r>
      <w:r w:rsidRPr="00502AB6">
        <w:t xml:space="preserve">eligious </w:t>
      </w:r>
      <w:r w:rsidR="00380386">
        <w:t>L</w:t>
      </w:r>
      <w:r w:rsidRPr="00502AB6">
        <w:t>iberties, the Attorney General</w:t>
      </w:r>
      <w:r w:rsidRPr="00502AB6">
        <w:t>’</w:t>
      </w:r>
      <w:r w:rsidRPr="00502AB6">
        <w:t xml:space="preserve">s Complaint </w:t>
      </w:r>
      <w:r w:rsidR="00380386">
        <w:t>F</w:t>
      </w:r>
      <w:r>
        <w:t xml:space="preserve">ails to </w:t>
      </w:r>
      <w:r w:rsidR="00380386">
        <w:t>S</w:t>
      </w:r>
      <w:r>
        <w:t xml:space="preserve">tate a </w:t>
      </w:r>
      <w:r w:rsidR="00380386">
        <w:t>C</w:t>
      </w:r>
      <w:r>
        <w:t>laim</w:t>
      </w:r>
      <w:r w:rsidR="00380386">
        <w:t xml:space="preserve"> Based on the Governing Document upon which it Rests</w:t>
      </w:r>
      <w:r>
        <w:t>.</w:t>
      </w:r>
    </w:p>
    <w:p w:rsidR="00356ED0" w:rsidP="00356ED0" w14:paraId="76BAE4BF" w14:textId="0805CA03">
      <w:pPr>
        <w:pStyle w:val="BodyText"/>
      </w:pPr>
      <w:r>
        <w:t>Regardless of whether</w:t>
      </w:r>
      <w:r>
        <w:t xml:space="preserve"> the AG’s Complaint</w:t>
      </w:r>
      <w:r>
        <w:t xml:space="preserve"> violates the</w:t>
      </w:r>
      <w:r>
        <w:t xml:space="preserve"> </w:t>
      </w:r>
      <w:r w:rsidRPr="007B3586">
        <w:t>religious freedom guarantees set forth in the United States and Ohio Constitutions</w:t>
      </w:r>
      <w:r>
        <w:t xml:space="preserve">, </w:t>
      </w:r>
      <w:r>
        <w:t>it fail</w:t>
      </w:r>
      <w:r>
        <w:t xml:space="preserve">s to state a claim </w:t>
      </w:r>
      <w:r w:rsidR="00690922">
        <w:t xml:space="preserve">under </w:t>
      </w:r>
      <w:r>
        <w:t>Ohio Civ.</w:t>
      </w:r>
      <w:r w:rsidR="005717DC">
        <w:t xml:space="preserve"> </w:t>
      </w:r>
      <w:r>
        <w:t>R. 12(</w:t>
      </w:r>
      <w:r w:rsidR="003D3A2A">
        <w:t>B</w:t>
      </w:r>
      <w:r>
        <w:t>)(6)</w:t>
      </w:r>
      <w:r>
        <w:t xml:space="preserve">. The AG </w:t>
      </w:r>
      <w:r w:rsidR="003D3A2A">
        <w:t>alleges</w:t>
      </w:r>
      <w:r>
        <w:t xml:space="preserve"> that the 1950 Consolidation Agreement </w:t>
      </w:r>
      <w:r>
        <w:t xml:space="preserve">provides </w:t>
      </w:r>
      <w:r>
        <w:t xml:space="preserve">that HUC </w:t>
      </w:r>
      <w:r>
        <w:t xml:space="preserve">must </w:t>
      </w:r>
      <w:r>
        <w:t>“permanently maintain” a rabbinical school in Cincinnati</w:t>
      </w:r>
      <w:r>
        <w:t xml:space="preserve"> and, as a result,</w:t>
      </w:r>
      <w:r>
        <w:t xml:space="preserve"> it cannot cease in-person instruction in Cincinnati</w:t>
      </w:r>
      <w:r w:rsidR="00112570">
        <w:t>—</w:t>
      </w:r>
      <w:r>
        <w:t xml:space="preserve">ever. </w:t>
      </w:r>
      <w:r>
        <w:t xml:space="preserve">The AG’s argument </w:t>
      </w:r>
      <w:r>
        <w:t xml:space="preserve">flouts the Ohio Revised Code, </w:t>
      </w:r>
      <w:r>
        <w:t xml:space="preserve">established </w:t>
      </w:r>
      <w:r>
        <w:t xml:space="preserve">Ohio case law, and the </w:t>
      </w:r>
      <w:r w:rsidR="003D3A2A">
        <w:t xml:space="preserve">1950 </w:t>
      </w:r>
      <w:r>
        <w:t>Consolidation Agreement</w:t>
      </w:r>
      <w:r w:rsidR="0067181D">
        <w:t>’s plain terms</w:t>
      </w:r>
      <w:r>
        <w:t xml:space="preserve">.  </w:t>
      </w:r>
    </w:p>
    <w:p w:rsidR="00356ED0" w:rsidRPr="003D3A2A" w:rsidP="00356ED0" w14:paraId="7AE65B16" w14:textId="6E1FDD26">
      <w:pPr>
        <w:pStyle w:val="Heading3"/>
        <w:rPr>
          <w:i w:val="0"/>
          <w:iCs/>
        </w:rPr>
      </w:pPr>
      <w:r w:rsidRPr="003D3A2A">
        <w:rPr>
          <w:i w:val="0"/>
          <w:iCs/>
        </w:rPr>
        <w:t xml:space="preserve">The Complaint </w:t>
      </w:r>
      <w:r w:rsidR="003D3A2A">
        <w:rPr>
          <w:i w:val="0"/>
          <w:iCs/>
        </w:rPr>
        <w:t>I</w:t>
      </w:r>
      <w:r w:rsidRPr="003D3A2A">
        <w:rPr>
          <w:i w:val="0"/>
          <w:iCs/>
        </w:rPr>
        <w:t xml:space="preserve">gnores that HUC </w:t>
      </w:r>
      <w:r w:rsidR="003D3A2A">
        <w:rPr>
          <w:i w:val="0"/>
          <w:iCs/>
        </w:rPr>
        <w:t>E</w:t>
      </w:r>
      <w:r w:rsidRPr="003D3A2A">
        <w:rPr>
          <w:i w:val="0"/>
          <w:iCs/>
        </w:rPr>
        <w:t xml:space="preserve">xercised a </w:t>
      </w:r>
      <w:r w:rsidR="003D3A2A">
        <w:rPr>
          <w:i w:val="0"/>
          <w:iCs/>
        </w:rPr>
        <w:t>L</w:t>
      </w:r>
      <w:r w:rsidRPr="003D3A2A">
        <w:rPr>
          <w:i w:val="0"/>
          <w:iCs/>
        </w:rPr>
        <w:t xml:space="preserve">awful </w:t>
      </w:r>
      <w:r w:rsidR="003D3A2A">
        <w:rPr>
          <w:i w:val="0"/>
          <w:iCs/>
        </w:rPr>
        <w:t>C</w:t>
      </w:r>
      <w:r w:rsidRPr="003D3A2A">
        <w:rPr>
          <w:i w:val="0"/>
          <w:iCs/>
        </w:rPr>
        <w:t xml:space="preserve">orporate </w:t>
      </w:r>
      <w:r w:rsidR="003D3A2A">
        <w:rPr>
          <w:i w:val="0"/>
          <w:iCs/>
        </w:rPr>
        <w:t>P</w:t>
      </w:r>
      <w:r w:rsidRPr="003D3A2A">
        <w:rPr>
          <w:i w:val="0"/>
          <w:iCs/>
        </w:rPr>
        <w:t xml:space="preserve">rerogative by </w:t>
      </w:r>
      <w:r w:rsidR="003D3A2A">
        <w:rPr>
          <w:i w:val="0"/>
          <w:iCs/>
        </w:rPr>
        <w:t>A</w:t>
      </w:r>
      <w:r w:rsidRPr="003D3A2A">
        <w:rPr>
          <w:i w:val="0"/>
          <w:iCs/>
        </w:rPr>
        <w:t>mending its Articles of Incorporation.</w:t>
      </w:r>
    </w:p>
    <w:p w:rsidR="00356ED0" w:rsidP="00356ED0" w14:paraId="724143D0" w14:textId="0220BC96">
      <w:pPr>
        <w:pStyle w:val="BodyText"/>
      </w:pPr>
      <w:r>
        <w:t xml:space="preserve">Ohio law recognizes that nonprofit corporations like HUC are corporations. </w:t>
      </w:r>
      <w:r w:rsidR="00352120">
        <w:t xml:space="preserve">R.C. </w:t>
      </w:r>
      <w:r>
        <w:t xml:space="preserve">§ 1702.01(C). </w:t>
      </w:r>
      <w:r w:rsidR="007B3586">
        <w:t>N</w:t>
      </w:r>
      <w:r>
        <w:t>onprofit corporations are governed by articles of incorporation, which may include a consolidation agreement</w:t>
      </w:r>
      <w:r w:rsidR="003D3A2A">
        <w:t xml:space="preserve"> like the one at issue in this case</w:t>
      </w:r>
      <w:r>
        <w:t xml:space="preserve">. </w:t>
      </w:r>
      <w:r>
        <w:rPr>
          <w:i/>
          <w:iCs/>
        </w:rPr>
        <w:t>Id.</w:t>
      </w:r>
      <w:r>
        <w:t xml:space="preserve"> §§ 1702.04, 1702.01(E). </w:t>
      </w:r>
      <w:r w:rsidR="007B3586">
        <w:t>Ohio statutes</w:t>
      </w:r>
      <w:r>
        <w:t xml:space="preserve"> expressly provide that a nonprofit corporation’s authority is exercised through its directors. </w:t>
      </w:r>
      <w:r w:rsidR="00352120">
        <w:rPr>
          <w:i/>
          <w:iCs/>
        </w:rPr>
        <w:t>Id.</w:t>
      </w:r>
      <w:r>
        <w:t xml:space="preserve"> § </w:t>
      </w:r>
      <w:r w:rsidR="00DD3949">
        <w:t xml:space="preserve">1702.30. </w:t>
      </w:r>
      <w:r w:rsidR="007B3586">
        <w:t>Finally,</w:t>
      </w:r>
      <w:r w:rsidR="003D3A2A">
        <w:t xml:space="preserve"> </w:t>
      </w:r>
      <w:r>
        <w:t xml:space="preserve">Ohio law defines the terms that a nonprofit corporation’s articles of incorporation must include—the entity’s name, principal place of business, and purpose.  </w:t>
      </w:r>
      <w:r>
        <w:rPr>
          <w:i/>
          <w:iCs/>
        </w:rPr>
        <w:t>Id.</w:t>
      </w:r>
      <w:r>
        <w:t xml:space="preserve"> §</w:t>
      </w:r>
      <w:r w:rsidR="00352120">
        <w:t> </w:t>
      </w:r>
      <w:r>
        <w:t xml:space="preserve">1702.04(A).   </w:t>
      </w:r>
    </w:p>
    <w:p w:rsidR="00356ED0" w:rsidP="00356ED0" w14:paraId="4CD38743" w14:textId="5B004EF7">
      <w:pPr>
        <w:pStyle w:val="BodyText"/>
      </w:pPr>
      <w:r>
        <w:t>Importantly, Ohio law recognizes that</w:t>
      </w:r>
      <w:r w:rsidR="00CD1208">
        <w:t xml:space="preserve"> a</w:t>
      </w:r>
      <w:r>
        <w:t xml:space="preserve"> </w:t>
      </w:r>
      <w:r w:rsidR="003D3A2A">
        <w:t>nonprofit</w:t>
      </w:r>
      <w:r>
        <w:t xml:space="preserve"> corporation’s articles are not </w:t>
      </w:r>
      <w:r w:rsidR="00B0667D">
        <w:t>carved</w:t>
      </w:r>
      <w:r>
        <w:t xml:space="preserve"> </w:t>
      </w:r>
      <w:r w:rsidR="004C1653">
        <w:t>on stone tablets</w:t>
      </w:r>
      <w:r>
        <w:t xml:space="preserve">. </w:t>
      </w:r>
      <w:r w:rsidR="001B50C3">
        <w:t>Rather</w:t>
      </w:r>
      <w:r>
        <w:t xml:space="preserve">, a nonprofit corporation </w:t>
      </w:r>
      <w:r w:rsidR="007B3586">
        <w:t xml:space="preserve">may </w:t>
      </w:r>
      <w:r>
        <w:t xml:space="preserve">amend its articles, including to “[c]hange, enlarge, or diminish its purpose or purposes.” </w:t>
      </w:r>
      <w:r>
        <w:rPr>
          <w:i/>
          <w:iCs/>
        </w:rPr>
        <w:t>Id.</w:t>
      </w:r>
      <w:r>
        <w:t xml:space="preserve"> §§ 1702.38(A), (B)(3). The only limitation placed upon </w:t>
      </w:r>
      <w:r w:rsidR="007B3586">
        <w:t>a nonprofit corporation</w:t>
      </w:r>
      <w:r>
        <w:t xml:space="preserve"> is that “a public benefit corporation shall not amend its articles in such a manner that it will cease to be a public benefit corporation.”  </w:t>
      </w:r>
      <w:r>
        <w:rPr>
          <w:i/>
          <w:iCs/>
        </w:rPr>
        <w:t>Id.</w:t>
      </w:r>
      <w:r>
        <w:t xml:space="preserve"> § 1702.38(A).  </w:t>
      </w:r>
    </w:p>
    <w:p w:rsidR="00356ED0" w:rsidP="00356ED0" w14:paraId="69F8E330" w14:textId="69D6B537">
      <w:pPr>
        <w:pStyle w:val="BodyText"/>
      </w:pPr>
      <w:r>
        <w:t xml:space="preserve">The </w:t>
      </w:r>
      <w:r w:rsidR="001A7F66">
        <w:t>AG</w:t>
      </w:r>
      <w:r>
        <w:t xml:space="preserve">’s Complaint fails because it </w:t>
      </w:r>
      <w:r w:rsidR="0090606A">
        <w:t xml:space="preserve">depends </w:t>
      </w:r>
      <w:r>
        <w:t xml:space="preserve">upon a valid exercise of corporate power.  </w:t>
      </w:r>
      <w:r w:rsidR="001B50C3">
        <w:t>In</w:t>
      </w:r>
      <w:r>
        <w:t xml:space="preserve"> April 2022</w:t>
      </w:r>
      <w:r w:rsidR="001B50C3">
        <w:t>, the Board voted</w:t>
      </w:r>
      <w:r>
        <w:t xml:space="preserve"> to amend the entity’s Articles of Incorporation to eliminate the </w:t>
      </w:r>
      <w:r w:rsidR="00352120">
        <w:t xml:space="preserve">provision </w:t>
      </w:r>
      <w:r>
        <w:t xml:space="preserve">stating that the entity would “permanently maintain” a rabbinical school in Cincinnati. </w:t>
      </w:r>
      <w:r w:rsidR="001B50C3">
        <w:t>(</w:t>
      </w:r>
      <w:r>
        <w:t>Compl</w:t>
      </w:r>
      <w:r w:rsidR="001B50C3">
        <w:t>. Ex.</w:t>
      </w:r>
      <w:r>
        <w:t xml:space="preserve"> 3</w:t>
      </w:r>
      <w:r w:rsidR="00352120">
        <w:t xml:space="preserve"> at 5</w:t>
      </w:r>
      <w:r w:rsidR="001B50C3">
        <w:t>.)</w:t>
      </w:r>
      <w:r>
        <w:t xml:space="preserve"> </w:t>
      </w:r>
      <w:r w:rsidR="001B50C3">
        <w:t>A</w:t>
      </w:r>
      <w:r>
        <w:t xml:space="preserve"> Certificate of Amendment filed with the Ohio Secretary of State reflects that decision. </w:t>
      </w:r>
      <w:r w:rsidR="00352120">
        <w:t>(</w:t>
      </w:r>
      <w:r w:rsidRPr="00912820" w:rsidR="00912820">
        <w:rPr>
          <w:i/>
          <w:iCs/>
        </w:rPr>
        <w:t>Id.</w:t>
      </w:r>
      <w:r>
        <w:t xml:space="preserve"> </w:t>
      </w:r>
      <w:r w:rsidR="00352120">
        <w:t xml:space="preserve">at 1–3.) </w:t>
      </w:r>
      <w:r>
        <w:t xml:space="preserve">The relevant </w:t>
      </w:r>
      <w:r w:rsidR="00DD3949">
        <w:t>B</w:t>
      </w:r>
      <w:r>
        <w:t xml:space="preserve">oard resolution is appended to that Certificate. </w:t>
      </w:r>
      <w:r w:rsidR="00352120">
        <w:t>(</w:t>
      </w:r>
      <w:r w:rsidRPr="00912820" w:rsidR="00912820">
        <w:rPr>
          <w:i/>
          <w:iCs/>
        </w:rPr>
        <w:t>Id</w:t>
      </w:r>
      <w:r w:rsidR="00912820">
        <w:t>.</w:t>
      </w:r>
      <w:r w:rsidR="00352120">
        <w:t xml:space="preserve"> at 4–6.)</w:t>
      </w:r>
      <w:r>
        <w:t xml:space="preserve"> The resolution notes that the HUC </w:t>
      </w:r>
      <w:r w:rsidR="00DD3949">
        <w:t>B</w:t>
      </w:r>
      <w:r>
        <w:t>oard sought to “address various challenges facing” HUC, including “declining enrollment in [its] residential rabbinical programs.”  (</w:t>
      </w:r>
      <w:r w:rsidRPr="00CB5321" w:rsidR="00352120">
        <w:rPr>
          <w:i/>
          <w:iCs/>
        </w:rPr>
        <w:t>Id.</w:t>
      </w:r>
      <w:r w:rsidR="00352120">
        <w:t xml:space="preserve"> </w:t>
      </w:r>
      <w:r>
        <w:t xml:space="preserve">at 4.)  </w:t>
      </w:r>
      <w:r w:rsidR="001B50C3">
        <w:t>T</w:t>
      </w:r>
      <w:r>
        <w:t xml:space="preserve">o address those challenges, the </w:t>
      </w:r>
      <w:r w:rsidR="00DD3949">
        <w:t>B</w:t>
      </w:r>
      <w:r>
        <w:t>oard resolved to “cease operating a residential rabbinical program in Cincinnati” by the end of the 2026 academic year.  (</w:t>
      </w:r>
      <w:r>
        <w:rPr>
          <w:i/>
          <w:iCs/>
        </w:rPr>
        <w:t>Id.</w:t>
      </w:r>
      <w:r>
        <w:t xml:space="preserve"> at 5.)  </w:t>
      </w:r>
    </w:p>
    <w:p w:rsidR="00356ED0" w:rsidRPr="00CF2BE4" w:rsidP="00356ED0" w14:paraId="402D1F7C" w14:textId="070C1356">
      <w:pPr>
        <w:pStyle w:val="BodyText"/>
      </w:pPr>
      <w:r>
        <w:t xml:space="preserve">Nothing in the Complaint suggests that the HUC </w:t>
      </w:r>
      <w:r w:rsidR="00DD3949">
        <w:t>B</w:t>
      </w:r>
      <w:r>
        <w:t xml:space="preserve">oard lacked </w:t>
      </w:r>
      <w:r w:rsidR="001A7F66">
        <w:t xml:space="preserve">the </w:t>
      </w:r>
      <w:r>
        <w:t xml:space="preserve">authority to amend </w:t>
      </w:r>
      <w:r w:rsidR="001A7F66">
        <w:t>its</w:t>
      </w:r>
      <w:r>
        <w:t xml:space="preserve"> Articles of Incorporation. Indeed, the 1950 Consolidation Agreement expressly </w:t>
      </w:r>
      <w:r w:rsidR="00937DBB">
        <w:t xml:space="preserve">provided </w:t>
      </w:r>
      <w:r w:rsidR="00FB154E">
        <w:t xml:space="preserve">that </w:t>
      </w:r>
      <w:r w:rsidR="001B50C3">
        <w:t>authority</w:t>
      </w:r>
      <w:r>
        <w:t xml:space="preserve">. Section 9 of the 1950 Consolidation Agreement authorized amending any of </w:t>
      </w:r>
      <w:r w:rsidR="00937DBB">
        <w:t xml:space="preserve">the </w:t>
      </w:r>
      <w:r>
        <w:t xml:space="preserve">terms by a </w:t>
      </w:r>
      <w:r w:rsidR="00937DBB">
        <w:t>two-third</w:t>
      </w:r>
      <w:r>
        <w:t xml:space="preserve"> majority </w:t>
      </w:r>
      <w:r w:rsidR="00937DBB">
        <w:t xml:space="preserve">vote </w:t>
      </w:r>
      <w:r>
        <w:t xml:space="preserve">of the </w:t>
      </w:r>
      <w:r w:rsidR="00B0667D">
        <w:t>b</w:t>
      </w:r>
      <w:r>
        <w:t>oard.  (</w:t>
      </w:r>
      <w:r>
        <w:rPr>
          <w:i/>
          <w:iCs/>
        </w:rPr>
        <w:t>Id.</w:t>
      </w:r>
      <w:r>
        <w:t xml:space="preserve"> § 9</w:t>
      </w:r>
      <w:r w:rsidR="00917FB3">
        <w:t xml:space="preserve"> </w:t>
      </w:r>
      <w:r w:rsidR="00B20B53">
        <w:t>(</w:t>
      </w:r>
      <w:r w:rsidR="00937DBB">
        <w:t>“The affirmative vote of at least two-thirds of those Trustees present at a meeting of the Trustees at which a quorum is present shall be required for any revision or amendment of the Articles of Incorporation of the Consolidated Corporation as such Articles are stated in this Agreement as amended.”</w:t>
      </w:r>
      <w:r>
        <w:t>)</w:t>
      </w:r>
      <w:r w:rsidR="00B20B53">
        <w:t>.)</w:t>
      </w:r>
      <w:r>
        <w:t xml:space="preserve"> Notably, nothing in Section 9 suggests that any portion of the </w:t>
      </w:r>
      <w:r w:rsidR="0090606A">
        <w:t xml:space="preserve">1950 </w:t>
      </w:r>
      <w:r>
        <w:t xml:space="preserve">Consolidation Agreement </w:t>
      </w:r>
      <w:r w:rsidR="00B0667D">
        <w:t>cannot</w:t>
      </w:r>
      <w:r w:rsidR="00937DBB">
        <w:t xml:space="preserve"> be amended</w:t>
      </w:r>
      <w:r>
        <w:t xml:space="preserve">. </w:t>
      </w:r>
      <w:r w:rsidR="00937DBB">
        <w:t>Rather</w:t>
      </w:r>
      <w:r>
        <w:t xml:space="preserve">, it authorized the Board to amend </w:t>
      </w:r>
      <w:r w:rsidRPr="00CB5321">
        <w:rPr>
          <w:i/>
          <w:iCs/>
        </w:rPr>
        <w:t>any</w:t>
      </w:r>
      <w:r>
        <w:t xml:space="preserve"> of its terms, including the provision that HUC would “permanently maintain” a residential rabbinical school in Cincinnati.  </w:t>
      </w:r>
    </w:p>
    <w:p w:rsidR="00356ED0" w:rsidP="00356ED0" w14:paraId="1E1DB70F" w14:textId="558804BB">
      <w:pPr>
        <w:pStyle w:val="BodyText"/>
      </w:pPr>
      <w:r>
        <w:t xml:space="preserve">Put simply, the AG’s Complaint </w:t>
      </w:r>
      <w:r w:rsidR="007E0BA8">
        <w:t>fails to raise any claim that</w:t>
      </w:r>
      <w:r>
        <w:t xml:space="preserve"> the </w:t>
      </w:r>
      <w:r w:rsidR="00DD3949">
        <w:t>B</w:t>
      </w:r>
      <w:r>
        <w:t>oard</w:t>
      </w:r>
      <w:r w:rsidR="007E0BA8">
        <w:t xml:space="preserve"> breached the fiduciary duties owed to HUC when it validly voted</w:t>
      </w:r>
      <w:r w:rsidR="00C143AD">
        <w:t xml:space="preserve"> to</w:t>
      </w:r>
      <w:r w:rsidR="007E0BA8">
        <w:t xml:space="preserve"> close the</w:t>
      </w:r>
      <w:r>
        <w:t xml:space="preserve"> </w:t>
      </w:r>
      <w:r w:rsidR="007E0BA8">
        <w:t xml:space="preserve">in-person </w:t>
      </w:r>
      <w:r>
        <w:t xml:space="preserve">rabbinical school in Cincinnati. The AG’s Complaint </w:t>
      </w:r>
      <w:r w:rsidR="00912820">
        <w:t>therefore fails to</w:t>
      </w:r>
      <w:r w:rsidR="007E0BA8">
        <w:t xml:space="preserve"> state a valid claim</w:t>
      </w:r>
      <w:r>
        <w:t>.</w:t>
      </w:r>
    </w:p>
    <w:p w:rsidR="00356ED0" w:rsidRPr="00912820" w:rsidP="00356ED0" w14:paraId="75047A36" w14:textId="7671ED16">
      <w:pPr>
        <w:pStyle w:val="Heading3"/>
        <w:rPr>
          <w:i w:val="0"/>
          <w:iCs/>
        </w:rPr>
      </w:pPr>
      <w:r w:rsidRPr="00912820">
        <w:rPr>
          <w:i w:val="0"/>
          <w:iCs/>
        </w:rPr>
        <w:t xml:space="preserve">The Complaint </w:t>
      </w:r>
      <w:r w:rsidR="00912820">
        <w:rPr>
          <w:i w:val="0"/>
          <w:iCs/>
        </w:rPr>
        <w:t>R</w:t>
      </w:r>
      <w:r w:rsidRPr="00912820">
        <w:rPr>
          <w:i w:val="0"/>
          <w:iCs/>
        </w:rPr>
        <w:t xml:space="preserve">ests on a </w:t>
      </w:r>
      <w:r w:rsidR="00912820">
        <w:rPr>
          <w:i w:val="0"/>
          <w:iCs/>
        </w:rPr>
        <w:t>F</w:t>
      </w:r>
      <w:r w:rsidRPr="00912820">
        <w:rPr>
          <w:i w:val="0"/>
          <w:iCs/>
        </w:rPr>
        <w:t xml:space="preserve">lawed </w:t>
      </w:r>
      <w:r w:rsidR="00912820">
        <w:rPr>
          <w:i w:val="0"/>
          <w:iCs/>
        </w:rPr>
        <w:t xml:space="preserve">Usage </w:t>
      </w:r>
      <w:r w:rsidRPr="00912820">
        <w:rPr>
          <w:i w:val="0"/>
          <w:iCs/>
        </w:rPr>
        <w:t xml:space="preserve">of the </w:t>
      </w:r>
      <w:r w:rsidR="00912820">
        <w:rPr>
          <w:i w:val="0"/>
          <w:iCs/>
        </w:rPr>
        <w:t>W</w:t>
      </w:r>
      <w:r w:rsidRPr="00912820">
        <w:rPr>
          <w:i w:val="0"/>
          <w:iCs/>
        </w:rPr>
        <w:t xml:space="preserve">ord </w:t>
      </w:r>
      <w:r w:rsidRPr="00912820">
        <w:rPr>
          <w:i w:val="0"/>
          <w:iCs/>
        </w:rPr>
        <w:t>“</w:t>
      </w:r>
      <w:r w:rsidR="00912820">
        <w:rPr>
          <w:i w:val="0"/>
          <w:iCs/>
        </w:rPr>
        <w:t>P</w:t>
      </w:r>
      <w:r w:rsidRPr="00912820">
        <w:rPr>
          <w:i w:val="0"/>
          <w:iCs/>
        </w:rPr>
        <w:t>ermanent.</w:t>
      </w:r>
      <w:r w:rsidR="0002558C">
        <w:rPr>
          <w:i w:val="0"/>
          <w:iCs/>
        </w:rPr>
        <w:t>”</w:t>
      </w:r>
      <w:r w:rsidRPr="00912820">
        <w:rPr>
          <w:i w:val="0"/>
          <w:iCs/>
        </w:rPr>
        <w:t xml:space="preserve"> </w:t>
      </w:r>
    </w:p>
    <w:p w:rsidR="00356ED0" w:rsidP="007501F2" w14:paraId="4565AB2D" w14:textId="3A7FC40D">
      <w:pPr>
        <w:pStyle w:val="BodyText"/>
      </w:pPr>
      <w:r>
        <w:t xml:space="preserve">Even if Ohio law and </w:t>
      </w:r>
      <w:r w:rsidR="00912820">
        <w:t xml:space="preserve">the 1950 Consolidation Agreement </w:t>
      </w:r>
      <w:r>
        <w:t xml:space="preserve">did not gut the theory of the AG’s Complaint, his claims would still fail.  They all rest </w:t>
      </w:r>
      <w:r w:rsidR="00162416">
        <w:t xml:space="preserve">on an unnatural, inaccurate, and implausible reading of </w:t>
      </w:r>
      <w:r w:rsidR="007501F2">
        <w:t xml:space="preserve">§ 2 the 1950 Consolidation Agreement.  Specifically, the AG reads that section to </w:t>
      </w:r>
      <w:r>
        <w:t>impose an unending, unchangeable, immutable obligation to maintain a rabbinical school in Cincinnati</w:t>
      </w:r>
      <w:r w:rsidR="00912820">
        <w:t xml:space="preserve"> to infinity and beyond</w:t>
      </w:r>
      <w:r>
        <w:t xml:space="preserve">. The AG </w:t>
      </w:r>
      <w:r w:rsidR="002A4D27">
        <w:t xml:space="preserve">anchors </w:t>
      </w:r>
      <w:r w:rsidR="00B20B53">
        <w:t>his</w:t>
      </w:r>
      <w:r w:rsidR="002A4D27">
        <w:t xml:space="preserve"> reading upon a single sentence</w:t>
      </w:r>
      <w:r w:rsidR="00B20B53">
        <w:t>—</w:t>
      </w:r>
      <w:r>
        <w:t xml:space="preserve"> “Consolidated corporation shall permanently maintain rabbinical schools in Cincinnati, Ohio and New York, New York”</w:t>
      </w:r>
      <w:r w:rsidR="00B20B53">
        <w:t>—</w:t>
      </w:r>
      <w:r w:rsidR="00141931">
        <w:t xml:space="preserve">and </w:t>
      </w:r>
      <w:r w:rsidR="00B20B53">
        <w:t>interprets</w:t>
      </w:r>
      <w:r w:rsidR="00141931">
        <w:t xml:space="preserve"> “permanent” </w:t>
      </w:r>
      <w:r w:rsidR="00B20B53">
        <w:t xml:space="preserve">to mean </w:t>
      </w:r>
      <w:r w:rsidR="00141931">
        <w:t>“in perpetuity</w:t>
      </w:r>
      <w:r w:rsidR="000260E6">
        <w:t xml:space="preserve"> and without modification</w:t>
      </w:r>
      <w:r w:rsidR="00EC3828">
        <w:t>.</w:t>
      </w:r>
      <w:r w:rsidR="00141931">
        <w:t>”</w:t>
      </w:r>
      <w:r w:rsidR="002A4D27">
        <w:t xml:space="preserve">  (Compl. Ex. 1 § 2.)</w:t>
      </w:r>
      <w:r w:rsidR="00141931">
        <w:t xml:space="preserve">  </w:t>
      </w:r>
      <w:r>
        <w:t xml:space="preserve"> </w:t>
      </w:r>
    </w:p>
    <w:p w:rsidR="00356ED0" w:rsidP="007F2F50" w14:paraId="6864AA39" w14:textId="385331C6">
      <w:pPr>
        <w:pStyle w:val="BodyText"/>
      </w:pPr>
      <w:r w:rsidRPr="00323E9D">
        <w:t>Ohio</w:t>
      </w:r>
      <w:r>
        <w:t xml:space="preserve"> courts</w:t>
      </w:r>
      <w:r w:rsidR="002A4D27">
        <w:t>, however,</w:t>
      </w:r>
      <w:r>
        <w:t xml:space="preserve"> have long </w:t>
      </w:r>
      <w:r w:rsidR="000260E6">
        <w:t>held</w:t>
      </w:r>
      <w:r>
        <w:t xml:space="preserve"> that “permanent” means “indefinite” rather than “in perpetuity</w:t>
      </w:r>
      <w:r w:rsidR="000260E6">
        <w:t xml:space="preserve"> and</w:t>
      </w:r>
      <w:r>
        <w:t xml:space="preserve"> without modification.” </w:t>
      </w:r>
      <w:r w:rsidR="007F2F50">
        <w:t xml:space="preserve">Further, courts disfavor perpetual obligations. </w:t>
      </w:r>
      <w:r w:rsidRPr="00FD3AB1" w:rsidR="007F2F50">
        <w:rPr>
          <w:i/>
          <w:iCs/>
        </w:rPr>
        <w:t>City of Westlake v. City of Cleveland</w:t>
      </w:r>
      <w:r w:rsidRPr="00B47C50" w:rsidR="007F2F50">
        <w:t>, 2017-Ohio-4064, ¶</w:t>
      </w:r>
      <w:r w:rsidR="007F2F50">
        <w:t> </w:t>
      </w:r>
      <w:r w:rsidRPr="00B47C50" w:rsidR="007F2F50">
        <w:t>35</w:t>
      </w:r>
      <w:r w:rsidR="007F2F50">
        <w:t xml:space="preserve"> (citing </w:t>
      </w:r>
      <w:r w:rsidRPr="00FD3AB1" w:rsidR="007F2F50">
        <w:rPr>
          <w:i/>
          <w:iCs/>
        </w:rPr>
        <w:t>Hallock v. Kintzler</w:t>
      </w:r>
      <w:r w:rsidRPr="00B47C50" w:rsidR="007F2F50">
        <w:t>, 142 Ohio St. 287, 287, 51 N.E.2d 905 (1943)</w:t>
      </w:r>
      <w:r w:rsidR="007F2F50">
        <w:t xml:space="preserve">). </w:t>
      </w:r>
      <w:r w:rsidR="000260E6">
        <w:t>Indeed</w:t>
      </w:r>
      <w:r>
        <w:t xml:space="preserve">, the Ohio Supreme Court </w:t>
      </w:r>
      <w:r w:rsidR="000260E6">
        <w:t xml:space="preserve">held </w:t>
      </w:r>
      <w:r>
        <w:t xml:space="preserve">that </w:t>
      </w:r>
      <w:r w:rsidRPr="00FD3AB1">
        <w:rPr>
          <w:i/>
          <w:iCs/>
        </w:rPr>
        <w:t>permanent</w:t>
      </w:r>
      <w:r>
        <w:t xml:space="preserve"> “must mean </w:t>
      </w:r>
      <w:r w:rsidRPr="00323E9D">
        <w:t>that claimant</w:t>
      </w:r>
      <w:r w:rsidR="000260E6">
        <w:t>’</w:t>
      </w:r>
      <w:r w:rsidRPr="00323E9D">
        <w:t xml:space="preserve">s disability will probably continue for some </w:t>
      </w:r>
      <w:r w:rsidRPr="00FD3AB1">
        <w:rPr>
          <w:i/>
          <w:iCs/>
        </w:rPr>
        <w:t>indefinite</w:t>
      </w:r>
      <w:r w:rsidRPr="00323E9D">
        <w:t xml:space="preserve"> period of time.</w:t>
      </w:r>
      <w:r>
        <w:t xml:space="preserve">” </w:t>
      </w:r>
      <w:r w:rsidRPr="00FD3AB1">
        <w:rPr>
          <w:i/>
          <w:iCs/>
        </w:rPr>
        <w:t>Stuhlbarg v. Metro. Life Ins. Co.</w:t>
      </w:r>
      <w:r w:rsidRPr="00323E9D">
        <w:t>, 143 Ohio St. 390, 397, 55 N.E.2d 640, 644 (1944) (</w:t>
      </w:r>
      <w:r w:rsidR="000F625E">
        <w:t>citing</w:t>
      </w:r>
      <w:r w:rsidRPr="00323E9D" w:rsidR="000F625E">
        <w:t xml:space="preserve"> </w:t>
      </w:r>
      <w:r w:rsidRPr="00323E9D">
        <w:t xml:space="preserve">29 </w:t>
      </w:r>
      <w:r w:rsidRPr="00CB5321">
        <w:rPr>
          <w:smallCaps/>
        </w:rPr>
        <w:t>Am. Jur.</w:t>
      </w:r>
      <w:r>
        <w:t xml:space="preserve"> </w:t>
      </w:r>
      <w:r w:rsidRPr="00323E9D">
        <w:t xml:space="preserve">181 </w:t>
      </w:r>
      <w:r>
        <w:t>§</w:t>
      </w:r>
      <w:r w:rsidR="000F625E">
        <w:t> </w:t>
      </w:r>
      <w:r w:rsidRPr="00323E9D">
        <w:t>166</w:t>
      </w:r>
      <w:r>
        <w:t>) (emphasis added)</w:t>
      </w:r>
      <w:r w:rsidRPr="00323E9D">
        <w:t>.</w:t>
      </w:r>
      <w:r>
        <w:t xml:space="preserve"> The Court </w:t>
      </w:r>
      <w:r w:rsidR="00403DEC">
        <w:t>noted</w:t>
      </w:r>
      <w:r>
        <w:t>, “</w:t>
      </w:r>
      <w:r w:rsidRPr="00323E9D">
        <w:t>It is comparable to the idea conveyed by the term ‘permanent residence.’ The meaning of permanent residence is not that it shall necessarily continue for one's lifetime, but for an indefinite future period, with the possibility, however, that a change may occur.</w:t>
      </w:r>
      <w:r>
        <w:t xml:space="preserve">” </w:t>
      </w:r>
      <w:r>
        <w:rPr>
          <w:i/>
          <w:iCs/>
        </w:rPr>
        <w:t>Id.</w:t>
      </w:r>
      <w:r w:rsidRPr="00FD3AB1">
        <w:t xml:space="preserve">; </w:t>
      </w:r>
      <w:r>
        <w:rPr>
          <w:i/>
          <w:iCs/>
        </w:rPr>
        <w:t xml:space="preserve">see also </w:t>
      </w:r>
      <w:r w:rsidRPr="00E3797C">
        <w:rPr>
          <w:i/>
          <w:iCs/>
        </w:rPr>
        <w:t>Equitable Life Ins. Co. of Iowa v. Gerwick</w:t>
      </w:r>
      <w:r w:rsidRPr="00FD3AB1">
        <w:t>, 50 Ohio App. 277, 285 (</w:t>
      </w:r>
      <w:r w:rsidR="000F625E">
        <w:t xml:space="preserve">5th Dist. </w:t>
      </w:r>
      <w:r w:rsidRPr="00FD3AB1">
        <w:t>1934)</w:t>
      </w:r>
      <w:r>
        <w:t xml:space="preserve"> (“</w:t>
      </w:r>
      <w:r w:rsidRPr="00E3797C">
        <w:t xml:space="preserve">the word ‘permanent’ … means for an indefinite and </w:t>
      </w:r>
      <w:r w:rsidRPr="00E3797C" w:rsidR="000260E6">
        <w:t>indeterminable</w:t>
      </w:r>
      <w:r w:rsidRPr="00E3797C">
        <w:t xml:space="preserve"> period</w:t>
      </w:r>
      <w:r>
        <w:t xml:space="preserve">”).  </w:t>
      </w:r>
    </w:p>
    <w:p w:rsidR="00356ED0" w:rsidP="00356ED0" w14:paraId="78E3347B" w14:textId="32E72AB0">
      <w:pPr>
        <w:pStyle w:val="BodyText"/>
      </w:pPr>
      <w:r>
        <w:t xml:space="preserve">Similarly, in the employment context, the </w:t>
      </w:r>
      <w:r w:rsidR="00C6666F">
        <w:t xml:space="preserve">Ohio </w:t>
      </w:r>
      <w:r>
        <w:t xml:space="preserve">Supreme Court has recognized that “a contract for permanent employment” means “an indefinite general hiring terminable at the will of either party.” </w:t>
      </w:r>
      <w:r w:rsidRPr="00FD3AB1">
        <w:rPr>
          <w:i/>
          <w:iCs/>
        </w:rPr>
        <w:t>Henkel v. Educ</w:t>
      </w:r>
      <w:r>
        <w:rPr>
          <w:i/>
          <w:iCs/>
        </w:rPr>
        <w:t>.</w:t>
      </w:r>
      <w:r w:rsidRPr="00FD3AB1">
        <w:rPr>
          <w:i/>
          <w:iCs/>
        </w:rPr>
        <w:t xml:space="preserve"> Res</w:t>
      </w:r>
      <w:r>
        <w:rPr>
          <w:i/>
          <w:iCs/>
        </w:rPr>
        <w:t>.</w:t>
      </w:r>
      <w:r w:rsidRPr="00FD3AB1">
        <w:rPr>
          <w:i/>
          <w:iCs/>
        </w:rPr>
        <w:t xml:space="preserve"> Council</w:t>
      </w:r>
      <w:r w:rsidRPr="00E3797C">
        <w:t xml:space="preserve">, 45 Ohio St.2d 249, 255 </w:t>
      </w:r>
      <w:r w:rsidRPr="00E3797C" w:rsidR="000F625E">
        <w:t>(1976)</w:t>
      </w:r>
      <w:r w:rsidR="000F625E">
        <w:t xml:space="preserve"> </w:t>
      </w:r>
      <w:r>
        <w:t>(</w:t>
      </w:r>
      <w:r w:rsidR="000F625E">
        <w:t>citation omitted</w:t>
      </w:r>
      <w:r>
        <w:t xml:space="preserve">). </w:t>
      </w:r>
      <w:r w:rsidRPr="00CB5321" w:rsidR="000260E6">
        <w:rPr>
          <w:i/>
          <w:iCs/>
        </w:rPr>
        <w:t>See also</w:t>
      </w:r>
      <w:r w:rsidR="000260E6">
        <w:t xml:space="preserve"> </w:t>
      </w:r>
      <w:r w:rsidRPr="00FD3AB1" w:rsidR="000260E6">
        <w:rPr>
          <w:i/>
          <w:iCs/>
        </w:rPr>
        <w:t>H.R. Options, Inc. v. Zaino</w:t>
      </w:r>
      <w:r w:rsidR="000260E6">
        <w:t>, 2004-Ohio-1, ¶ 21</w:t>
      </w:r>
      <w:r w:rsidR="000F625E">
        <w:t xml:space="preserve"> </w:t>
      </w:r>
      <w:r w:rsidR="000260E6">
        <w:t>(</w:t>
      </w:r>
      <w:r>
        <w:t>“in the context of R.C. 5739.01(JJ)(3), assigning an employee on a permanent basis means assigning an employee to a position for an indefinite period”</w:t>
      </w:r>
      <w:r w:rsidR="000260E6">
        <w:t>)</w:t>
      </w:r>
      <w:r w:rsidR="000F625E">
        <w:t xml:space="preserve">, </w:t>
      </w:r>
      <w:r w:rsidRPr="00FD3AB1" w:rsidR="000F625E">
        <w:rPr>
          <w:i/>
          <w:iCs/>
        </w:rPr>
        <w:t>opinion clarified sub nom. H.R. Options, Inc. v. Wilkins</w:t>
      </w:r>
      <w:r w:rsidR="000F625E">
        <w:t>, 2004-Ohio-2085.</w:t>
      </w:r>
      <w:r>
        <w:t xml:space="preserve">  </w:t>
      </w:r>
    </w:p>
    <w:p w:rsidR="00356ED0" w:rsidP="00356ED0" w14:paraId="3F61427A" w14:textId="3E3E006E">
      <w:pPr>
        <w:pStyle w:val="BodyText"/>
      </w:pPr>
      <w:r>
        <w:t xml:space="preserve">Beyond contravening that Ohio authority, the AG’s reading of </w:t>
      </w:r>
      <w:r w:rsidR="00643695">
        <w:t xml:space="preserve">the 1950 </w:t>
      </w:r>
      <w:r>
        <w:t>Consolidation Agreement §</w:t>
      </w:r>
      <w:r w:rsidR="00A64263">
        <w:t> </w:t>
      </w:r>
      <w:r>
        <w:t xml:space="preserve">2 promotes absurdity.  </w:t>
      </w:r>
      <w:r w:rsidR="000260E6">
        <w:t xml:space="preserve">Employing </w:t>
      </w:r>
      <w:r>
        <w:t xml:space="preserve">the AG’s </w:t>
      </w:r>
      <w:r w:rsidR="000260E6">
        <w:t>interpretation</w:t>
      </w:r>
      <w:r>
        <w:t xml:space="preserve">, no amount of changed circumstances could permit HUC to cease operating a rabbinical school in Cincinnati. Financial troubles? The obligation </w:t>
      </w:r>
      <w:r w:rsidR="000260E6">
        <w:t>remains</w:t>
      </w:r>
      <w:r>
        <w:t xml:space="preserve">. Mass migration of Jews outside of Cincinnati? </w:t>
      </w:r>
      <w:r w:rsidR="00EC3828">
        <w:t>Same result</w:t>
      </w:r>
      <w:r>
        <w:t xml:space="preserve">. </w:t>
      </w:r>
      <w:r w:rsidR="000260E6">
        <w:t xml:space="preserve">No students </w:t>
      </w:r>
      <w:r w:rsidR="00DD3949">
        <w:t xml:space="preserve">to </w:t>
      </w:r>
      <w:r w:rsidR="000260E6">
        <w:t>enroll</w:t>
      </w:r>
      <w:r>
        <w:t xml:space="preserve">? </w:t>
      </w:r>
      <w:r w:rsidR="00EC3828">
        <w:t xml:space="preserve">Too bad—stay the course. </w:t>
      </w:r>
      <w:r w:rsidR="007F2F50">
        <w:t>This would create an</w:t>
      </w:r>
      <w:r>
        <w:t xml:space="preserve"> absurd and unjust obligation, and plainly one that the HUC </w:t>
      </w:r>
      <w:r w:rsidR="00DD3949">
        <w:t>t</w:t>
      </w:r>
      <w:r>
        <w:t xml:space="preserve">rustees did not intend to </w:t>
      </w:r>
      <w:r w:rsidR="002751F2">
        <w:t xml:space="preserve">impose </w:t>
      </w:r>
      <w:r>
        <w:t>in 1950</w:t>
      </w:r>
      <w:r w:rsidR="00EC3828">
        <w:t>, as reflected in the amendment language of Section 9 of the 1950 Consolidation Agreement</w:t>
      </w:r>
      <w:r>
        <w:t>.</w:t>
      </w:r>
      <w:r w:rsidR="00EC3828">
        <w:t xml:space="preserve">  </w:t>
      </w:r>
      <w:r>
        <w:t xml:space="preserve">  </w:t>
      </w:r>
    </w:p>
    <w:p w:rsidR="00356ED0" w:rsidRPr="00E3797C" w:rsidP="00356ED0" w14:paraId="11401C76" w14:textId="59D45C77">
      <w:pPr>
        <w:pStyle w:val="BodyText"/>
      </w:pPr>
      <w:r>
        <w:t xml:space="preserve">The AG’s reading would also create inconsistencies in the law. A single stray reference to a “permanent” </w:t>
      </w:r>
      <w:r w:rsidR="007F2F50">
        <w:t xml:space="preserve">requirement </w:t>
      </w:r>
      <w:r>
        <w:t xml:space="preserve">appearing in a corporation’s articles of incorporation would cement an obligation for eternity. </w:t>
      </w:r>
      <w:r w:rsidR="007F2F50">
        <w:t>However, such a requirement would</w:t>
      </w:r>
      <w:r>
        <w:t xml:space="preserve"> </w:t>
      </w:r>
      <w:r w:rsidR="007F2F50">
        <w:t xml:space="preserve">conflict with and </w:t>
      </w:r>
      <w:r>
        <w:t>nullif</w:t>
      </w:r>
      <w:r w:rsidR="007F2F50">
        <w:t>y</w:t>
      </w:r>
      <w:r>
        <w:t xml:space="preserve"> R.C. §</w:t>
      </w:r>
      <w:r w:rsidR="00A64263">
        <w:t> </w:t>
      </w:r>
      <w:r>
        <w:t xml:space="preserve">1702.38, which expressly permits a nonprofit corporation to amend its articles of incorporation.  </w:t>
      </w:r>
      <w:r w:rsidR="007F2F50">
        <w:t>More importantly</w:t>
      </w:r>
      <w:r>
        <w:t xml:space="preserve">, the AG’s </w:t>
      </w:r>
      <w:r w:rsidR="000C19F7">
        <w:t>position</w:t>
      </w:r>
      <w:r w:rsidR="007F2F50">
        <w:t xml:space="preserve"> </w:t>
      </w:r>
      <w:r>
        <w:t xml:space="preserve">also nullifies Section 9 of the 1950 Consolidation Agreement, which allows HUC to amend its </w:t>
      </w:r>
      <w:r w:rsidR="002751F2">
        <w:t>terms</w:t>
      </w:r>
      <w:r>
        <w:t xml:space="preserve"> by a </w:t>
      </w:r>
      <w:r w:rsidR="000F625E">
        <w:t>two-thirds</w:t>
      </w:r>
      <w:r>
        <w:t xml:space="preserve"> supermajority </w:t>
      </w:r>
      <w:r w:rsidR="00DD3949">
        <w:t xml:space="preserve">Board </w:t>
      </w:r>
      <w:r>
        <w:t>vote.</w:t>
      </w:r>
      <w:r w:rsidR="000C19F7">
        <w:t xml:space="preserve"> It is not the </w:t>
      </w:r>
      <w:r w:rsidR="002751F2">
        <w:t>place</w:t>
      </w:r>
      <w:r w:rsidR="000C19F7">
        <w:t xml:space="preserve"> of the Ohio Attorney General of 2026 to substitute his judgment </w:t>
      </w:r>
      <w:r w:rsidR="000F625E">
        <w:t xml:space="preserve">about HUC’s operational obligations for those of </w:t>
      </w:r>
      <w:r w:rsidR="000C19F7">
        <w:t xml:space="preserve">the 1950 </w:t>
      </w:r>
      <w:r w:rsidR="00524258">
        <w:t xml:space="preserve">and 2022 </w:t>
      </w:r>
      <w:r w:rsidR="000C19F7">
        <w:t>HUC</w:t>
      </w:r>
      <w:r w:rsidR="00DD3949">
        <w:t xml:space="preserve"> B</w:t>
      </w:r>
      <w:r w:rsidR="000C19F7">
        <w:t>oard</w:t>
      </w:r>
      <w:r w:rsidR="00524258">
        <w:t>s</w:t>
      </w:r>
      <w:r w:rsidR="000C19F7">
        <w:t xml:space="preserve">. </w:t>
      </w:r>
      <w:r>
        <w:t xml:space="preserve">  </w:t>
      </w:r>
    </w:p>
    <w:p w:rsidR="00356ED0" w:rsidRPr="000C19F7" w:rsidP="00356ED0" w14:paraId="3EA595A1" w14:textId="2AB0190E">
      <w:pPr>
        <w:pStyle w:val="Heading3"/>
        <w:rPr>
          <w:i w:val="0"/>
          <w:iCs/>
        </w:rPr>
      </w:pPr>
      <w:r w:rsidRPr="000C19F7">
        <w:rPr>
          <w:i w:val="0"/>
          <w:iCs/>
        </w:rPr>
        <w:t xml:space="preserve">The Complaint </w:t>
      </w:r>
      <w:r w:rsidR="002751F2">
        <w:rPr>
          <w:i w:val="0"/>
          <w:iCs/>
        </w:rPr>
        <w:t>P</w:t>
      </w:r>
      <w:r w:rsidRPr="000C19F7">
        <w:rPr>
          <w:i w:val="0"/>
          <w:iCs/>
        </w:rPr>
        <w:t xml:space="preserve">leads no </w:t>
      </w:r>
      <w:r w:rsidR="000C19F7">
        <w:rPr>
          <w:i w:val="0"/>
          <w:iCs/>
        </w:rPr>
        <w:t>F</w:t>
      </w:r>
      <w:r w:rsidRPr="000C19F7">
        <w:rPr>
          <w:i w:val="0"/>
          <w:iCs/>
        </w:rPr>
        <w:t xml:space="preserve">acts that HUC </w:t>
      </w:r>
      <w:r w:rsidR="001F7475">
        <w:rPr>
          <w:i w:val="0"/>
          <w:iCs/>
        </w:rPr>
        <w:t xml:space="preserve">was Unjustly Enriched, </w:t>
      </w:r>
      <w:r w:rsidR="00524258">
        <w:rPr>
          <w:i w:val="0"/>
          <w:iCs/>
        </w:rPr>
        <w:t xml:space="preserve">or that the Board </w:t>
      </w:r>
      <w:r w:rsidR="000C19F7">
        <w:rPr>
          <w:i w:val="0"/>
          <w:iCs/>
        </w:rPr>
        <w:t>V</w:t>
      </w:r>
      <w:r w:rsidRPr="000C19F7">
        <w:rPr>
          <w:i w:val="0"/>
          <w:iCs/>
        </w:rPr>
        <w:t xml:space="preserve">iolated any </w:t>
      </w:r>
      <w:r w:rsidR="000C19F7">
        <w:rPr>
          <w:i w:val="0"/>
          <w:iCs/>
        </w:rPr>
        <w:t>G</w:t>
      </w:r>
      <w:r w:rsidRPr="000C19F7">
        <w:rPr>
          <w:i w:val="0"/>
          <w:iCs/>
        </w:rPr>
        <w:t xml:space="preserve">ift </w:t>
      </w:r>
      <w:r w:rsidR="000C19F7">
        <w:rPr>
          <w:i w:val="0"/>
          <w:iCs/>
        </w:rPr>
        <w:t>R</w:t>
      </w:r>
      <w:r w:rsidRPr="000C19F7">
        <w:rPr>
          <w:i w:val="0"/>
          <w:iCs/>
        </w:rPr>
        <w:t xml:space="preserve">estrictions or </w:t>
      </w:r>
      <w:r w:rsidR="000C19F7">
        <w:rPr>
          <w:i w:val="0"/>
          <w:iCs/>
        </w:rPr>
        <w:t>O</w:t>
      </w:r>
      <w:r w:rsidRPr="000C19F7">
        <w:rPr>
          <w:i w:val="0"/>
          <w:iCs/>
        </w:rPr>
        <w:t xml:space="preserve">therwise </w:t>
      </w:r>
      <w:r w:rsidR="00524258">
        <w:rPr>
          <w:i w:val="0"/>
          <w:iCs/>
        </w:rPr>
        <w:t>Breached</w:t>
      </w:r>
      <w:r w:rsidRPr="000C19F7">
        <w:rPr>
          <w:i w:val="0"/>
          <w:iCs/>
        </w:rPr>
        <w:t xml:space="preserve"> its </w:t>
      </w:r>
      <w:r w:rsidR="000C19F7">
        <w:rPr>
          <w:i w:val="0"/>
          <w:iCs/>
        </w:rPr>
        <w:t>F</w:t>
      </w:r>
      <w:r w:rsidRPr="000C19F7">
        <w:rPr>
          <w:i w:val="0"/>
          <w:iCs/>
        </w:rPr>
        <w:t xml:space="preserve">iduciary </w:t>
      </w:r>
      <w:r w:rsidR="000C19F7">
        <w:rPr>
          <w:i w:val="0"/>
          <w:iCs/>
        </w:rPr>
        <w:t>D</w:t>
      </w:r>
      <w:r w:rsidRPr="000C19F7">
        <w:rPr>
          <w:i w:val="0"/>
          <w:iCs/>
        </w:rPr>
        <w:t xml:space="preserve">uties. </w:t>
      </w:r>
    </w:p>
    <w:p w:rsidR="00A90644" w:rsidP="001F7475" w14:paraId="65F1AAE9" w14:textId="7862696B">
      <w:pPr>
        <w:pStyle w:val="BodyText"/>
      </w:pPr>
      <w:r>
        <w:t xml:space="preserve">The </w:t>
      </w:r>
      <w:r w:rsidR="00AE39B2">
        <w:t xml:space="preserve">causes of action and prayer for relief alleged in </w:t>
      </w:r>
      <w:r>
        <w:t xml:space="preserve">AG’s Complaint </w:t>
      </w:r>
      <w:r w:rsidR="00AE39B2">
        <w:t>collapse of their own weight. T</w:t>
      </w:r>
      <w:r>
        <w:t xml:space="preserve">he Complaint </w:t>
      </w:r>
      <w:r w:rsidR="001F7475">
        <w:t>asserts that HUC has been unjustly enriched</w:t>
      </w:r>
      <w:r w:rsidR="00AE39B2">
        <w:t>,</w:t>
      </w:r>
      <w:r w:rsidR="001F7475">
        <w:t xml:space="preserve"> </w:t>
      </w:r>
      <w:r w:rsidR="00524258">
        <w:t xml:space="preserve">and that the Board </w:t>
      </w:r>
      <w:r w:rsidR="001F7475">
        <w:t xml:space="preserve">breached fiduciary obligations </w:t>
      </w:r>
      <w:r w:rsidR="000F625E">
        <w:t xml:space="preserve">owed </w:t>
      </w:r>
      <w:r w:rsidR="001F7475">
        <w:t>to its donors</w:t>
      </w:r>
      <w:r w:rsidR="00AE39B2">
        <w:t xml:space="preserve"> and abused a charitable trust</w:t>
      </w:r>
      <w:r w:rsidR="001F7475">
        <w:t xml:space="preserve">. </w:t>
      </w:r>
      <w:r>
        <w:t>(</w:t>
      </w:r>
      <w:r w:rsidR="00AE39B2">
        <w:t>Compl</w:t>
      </w:r>
      <w:r>
        <w:t>.</w:t>
      </w:r>
      <w:r w:rsidR="00AE39B2">
        <w:t xml:space="preserve"> ¶¶ 48</w:t>
      </w:r>
      <w:r w:rsidR="00A64263">
        <w:t>–</w:t>
      </w:r>
      <w:r w:rsidR="00AE39B2">
        <w:t>90.</w:t>
      </w:r>
      <w:r>
        <w:t>)</w:t>
      </w:r>
      <w:r w:rsidR="001F7475">
        <w:t xml:space="preserve"> </w:t>
      </w:r>
      <w:r w:rsidR="00AE39B2">
        <w:t>T</w:t>
      </w:r>
      <w:r w:rsidR="001F7475">
        <w:t xml:space="preserve">he AG </w:t>
      </w:r>
      <w:r>
        <w:t xml:space="preserve">seeks a </w:t>
      </w:r>
      <w:r w:rsidR="00AE39B2">
        <w:t>reformation of charitable trust, a</w:t>
      </w:r>
      <w:r>
        <w:t xml:space="preserve"> </w:t>
      </w:r>
      <w:r>
        <w:t>constructive trust over HUC</w:t>
      </w:r>
      <w:r w:rsidR="00524258">
        <w:t>’</w:t>
      </w:r>
      <w:r>
        <w:t>s assets</w:t>
      </w:r>
      <w:r>
        <w:t xml:space="preserve"> to be distributed in support of a permanent Cincinnati rabbinical school, an accounting, injunctive and monetary relief. (Compl. </w:t>
      </w:r>
      <w:r w:rsidR="000F625E">
        <w:t xml:space="preserve">at </w:t>
      </w:r>
      <w:r>
        <w:t>14</w:t>
      </w:r>
      <w:r w:rsidR="00A64263">
        <w:t>–</w:t>
      </w:r>
      <w:r>
        <w:t>15.) None of these claims can survive scrutiny</w:t>
      </w:r>
      <w:r w:rsidR="0023559F">
        <w:t>,</w:t>
      </w:r>
      <w:r>
        <w:t xml:space="preserve"> and the AG is not entitled to any of the relief he seeks. </w:t>
      </w:r>
    </w:p>
    <w:p w:rsidR="006A420C" w:rsidP="000F625E" w14:paraId="0DE132D3" w14:textId="7DCE4EEC">
      <w:pPr>
        <w:pStyle w:val="BodyText"/>
      </w:pPr>
      <w:r>
        <w:t xml:space="preserve">As </w:t>
      </w:r>
      <w:r w:rsidR="000F625E">
        <w:t xml:space="preserve">detailed </w:t>
      </w:r>
      <w:r>
        <w:t xml:space="preserve">above, </w:t>
      </w:r>
      <w:r w:rsidR="000F625E">
        <w:t xml:space="preserve">voting to amend the 1950 Consolidation Agreement and to close the Cincinnati-based rabbinical school was entirely consistent with the </w:t>
      </w:r>
      <w:r>
        <w:t>HUC</w:t>
      </w:r>
      <w:r w:rsidR="000F625E">
        <w:t xml:space="preserve"> Board’s</w:t>
      </w:r>
      <w:r>
        <w:t xml:space="preserve"> legal and fiduciary obligations</w:t>
      </w:r>
      <w:r>
        <w:t xml:space="preserve">. </w:t>
      </w:r>
      <w:r w:rsidR="000F625E">
        <w:t xml:space="preserve">The Board considered </w:t>
      </w:r>
      <w:r>
        <w:t xml:space="preserve">the undeniable demographic realities </w:t>
      </w:r>
      <w:r w:rsidR="000F625E">
        <w:t xml:space="preserve">about </w:t>
      </w:r>
      <w:r>
        <w:t>where Jews live in the United States today</w:t>
      </w:r>
      <w:r w:rsidR="00E36F60">
        <w:t xml:space="preserve"> and how rabbis are trained</w:t>
      </w:r>
      <w:r w:rsidR="000F625E">
        <w:t xml:space="preserve">. And </w:t>
      </w:r>
      <w:r w:rsidR="00E36F60">
        <w:t>considering</w:t>
      </w:r>
      <w:r w:rsidR="000F625E">
        <w:t xml:space="preserve"> those facts</w:t>
      </w:r>
      <w:r>
        <w:t xml:space="preserve">, </w:t>
      </w:r>
      <w:r w:rsidR="000F625E">
        <w:rPr>
          <w:i/>
          <w:iCs/>
        </w:rPr>
        <w:t xml:space="preserve">failing </w:t>
      </w:r>
      <w:r w:rsidR="000F625E">
        <w:t xml:space="preserve">to close the Cincinnati rabbinical school would </w:t>
      </w:r>
      <w:r>
        <w:t>arguabl</w:t>
      </w:r>
      <w:r w:rsidR="000F625E">
        <w:t>y</w:t>
      </w:r>
      <w:r>
        <w:t xml:space="preserve"> breach fiduciary dut</w:t>
      </w:r>
      <w:r w:rsidR="000F625E">
        <w:t>ies</w:t>
      </w:r>
      <w:r>
        <w:t xml:space="preserve">. </w:t>
      </w:r>
      <w:r w:rsidR="000F625E">
        <w:t xml:space="preserve">In sum, demographic trends and Jewish religious education have both changed over the past eight decades. The HUC Board adapted the organization’s religious-education model accordingly and in doing so, the Board </w:t>
      </w:r>
      <w:r>
        <w:t xml:space="preserve">fulfilled its obligation to advance </w:t>
      </w:r>
      <w:r w:rsidR="000F625E">
        <w:t xml:space="preserve">HUC’s </w:t>
      </w:r>
      <w:r>
        <w:t xml:space="preserve">mission. </w:t>
      </w:r>
    </w:p>
    <w:p w:rsidR="001F7475" w:rsidP="006A420C" w14:paraId="1539508B" w14:textId="6352CC21">
      <w:pPr>
        <w:pStyle w:val="BodyText"/>
      </w:pPr>
      <w:r>
        <w:t xml:space="preserve"> </w:t>
      </w:r>
      <w:r w:rsidR="006A420C">
        <w:t xml:space="preserve">The claims and relief based upon donations are </w:t>
      </w:r>
      <w:r>
        <w:t xml:space="preserve">based solely </w:t>
      </w:r>
      <w:r>
        <w:t>on the assumption that they are “tied to the Cincinnati-area rabbinical school” (Compl. at 6</w:t>
      </w:r>
      <w:r w:rsidR="0016302E">
        <w:t>, Heading C.</w:t>
      </w:r>
      <w:r>
        <w:t>)</w:t>
      </w:r>
      <w:r>
        <w:t xml:space="preserve">. Tellingly, the Complaint </w:t>
      </w:r>
      <w:r w:rsidRPr="00CB5321">
        <w:rPr>
          <w:i/>
          <w:iCs/>
        </w:rPr>
        <w:t>asserts</w:t>
      </w:r>
      <w:r w:rsidRPr="00CB5321">
        <w:rPr>
          <w:i/>
          <w:iCs/>
        </w:rPr>
        <w:t xml:space="preserve"> no factual allegations to support that notion</w:t>
      </w:r>
      <w:r>
        <w:t xml:space="preserve">. Instead, the Complaint merely surmises that some donors may have given funds to HUC because they wanted to support rabbinical training in Cincinnati.  </w:t>
      </w:r>
    </w:p>
    <w:p w:rsidR="00067100" w:rsidP="00067100" w14:paraId="53B94ABF" w14:textId="0D0FF796">
      <w:pPr>
        <w:pStyle w:val="BodyText"/>
      </w:pPr>
      <w:r>
        <w:t xml:space="preserve">Courts take a dim view of implied geographical restrictions on charitable trusts’ funds.  </w:t>
      </w:r>
      <w:r w:rsidRPr="00261F05">
        <w:rPr>
          <w:i/>
          <w:iCs/>
        </w:rPr>
        <w:t>Daloia v. Franciscan Health System of Central Ohio, Inc</w:t>
      </w:r>
      <w:r>
        <w:t>. is instructive.  There, two sisters created charitable trusts directing funds to be distributed to “ST. ANTHONY MEDICAL CENTER, Columbus, Ohio for use among the sick-poor in accordance with the hospital</w:t>
      </w:r>
      <w:r w:rsidR="001B50C3">
        <w:t>’</w:t>
      </w:r>
      <w:r>
        <w:t>s mission.”  1997-Ohio-402, 79 Ohio St. 3d 98</w:t>
      </w:r>
      <w:r w:rsidR="0016302E">
        <w:t>, 104 (1997)</w:t>
      </w:r>
      <w:r>
        <w:t xml:space="preserve">. After they died, St. Anthony Medical </w:t>
      </w:r>
      <w:r w:rsidR="001B50C3">
        <w:t>C</w:t>
      </w:r>
      <w:r>
        <w:t>enter was sold to a different hospital system. The trustee, Daloia, did not know where to distribute the funds, so he provided them to the Franciscan Sisters of the Poor Foundation, which sought to distribute them to a hospital in Dayton. Daloia sued, contending that the trusts’ restrictions required the funds to be used in Columbus, not Dayton. The Ohio Supreme Court disagreed.  It held that the purpose clause outranked the geographic limitation: “we are not convinced that [the sisters] intended that their gifts were to remain sole</w:t>
      </w:r>
      <w:r w:rsidR="001F7475">
        <w:t>l</w:t>
      </w:r>
      <w:r>
        <w:t xml:space="preserve">y within the Columbus, Ohio area.” Because the bequests said that they were intended to help the sick-poor, delivering the funds to a Dayton-area hospital for the sick-poor comported with their donative intent.  </w:t>
      </w:r>
      <w:r w:rsidRPr="00261F05">
        <w:rPr>
          <w:i/>
          <w:iCs/>
        </w:rPr>
        <w:t>Id</w:t>
      </w:r>
      <w:r>
        <w:t xml:space="preserve">. at 104.  </w:t>
      </w:r>
    </w:p>
    <w:p w:rsidR="00067100" w:rsidP="00067100" w14:paraId="0675620C" w14:textId="65254D9E">
      <w:pPr>
        <w:pStyle w:val="BodyText"/>
      </w:pPr>
      <w:r>
        <w:t xml:space="preserve">The AG’s Complaint provides an even weaker case </w:t>
      </w:r>
      <w:r w:rsidR="0016302E">
        <w:t xml:space="preserve">than </w:t>
      </w:r>
      <w:r w:rsidRPr="00CB5321" w:rsidR="0016302E">
        <w:rPr>
          <w:i/>
          <w:iCs/>
        </w:rPr>
        <w:t>Daloia</w:t>
      </w:r>
      <w:r w:rsidR="0016302E">
        <w:t xml:space="preserve"> </w:t>
      </w:r>
      <w:r>
        <w:t xml:space="preserve">for restricting the use of funds </w:t>
      </w:r>
      <w:r w:rsidR="0016302E">
        <w:t>to a specific geography</w:t>
      </w:r>
      <w:r>
        <w:t xml:space="preserve">. In </w:t>
      </w:r>
      <w:r w:rsidRPr="00261F05">
        <w:rPr>
          <w:i/>
          <w:iCs/>
        </w:rPr>
        <w:t>Daloia</w:t>
      </w:r>
      <w:r>
        <w:t xml:space="preserve">, the trustee relied on precise language in the trust instrument restricting how the funds could be used. The AG, by contrast, identifies no text </w:t>
      </w:r>
      <w:r w:rsidR="00A4495F">
        <w:t xml:space="preserve">or provision </w:t>
      </w:r>
      <w:r>
        <w:t>restricting how funds donated to HUC could be used. Indeed, the AG does not even identify any specific instrument placing any restriction on donated funds.</w:t>
      </w:r>
      <w:r>
        <w:rPr>
          <w:rStyle w:val="FootnoteReference"/>
        </w:rPr>
        <w:footnoteReference w:id="9"/>
      </w:r>
      <w:r>
        <w:t xml:space="preserve">  Instead, the Complaint offers only the vague, conclusory allegation that “[s]ome of the charitable donations received by the College were made with restrictions.”  (Compl. ¶ 33.)  </w:t>
      </w:r>
      <w:r w:rsidR="001F7475">
        <w:t xml:space="preserve">Further, the Complaint fails </w:t>
      </w:r>
      <w:r w:rsidR="0016302E">
        <w:t xml:space="preserve">(a) </w:t>
      </w:r>
      <w:r w:rsidR="001F7475">
        <w:t>to</w:t>
      </w:r>
      <w:r>
        <w:t xml:space="preserve"> allege that the</w:t>
      </w:r>
      <w:r w:rsidR="0016302E">
        <w:t>se</w:t>
      </w:r>
      <w:r>
        <w:t xml:space="preserve"> unspecified </w:t>
      </w:r>
      <w:r w:rsidR="0016302E">
        <w:t>“</w:t>
      </w:r>
      <w:r>
        <w:t>restrictions</w:t>
      </w:r>
      <w:r w:rsidR="0016302E">
        <w:t>”</w:t>
      </w:r>
      <w:r>
        <w:t xml:space="preserve"> pertained to where HUC could deploy the funds</w:t>
      </w:r>
      <w:r w:rsidR="00A4495F">
        <w:t xml:space="preserve"> and </w:t>
      </w:r>
      <w:r w:rsidR="0016302E">
        <w:t xml:space="preserve">(b) </w:t>
      </w:r>
      <w:r w:rsidR="001F7475">
        <w:t xml:space="preserve">to </w:t>
      </w:r>
      <w:r>
        <w:t xml:space="preserve">support </w:t>
      </w:r>
      <w:r w:rsidR="0016302E">
        <w:t xml:space="preserve">the AG’s </w:t>
      </w:r>
      <w:r>
        <w:t>speculation that unnamed HUC</w:t>
      </w:r>
      <w:r w:rsidR="00524258">
        <w:t xml:space="preserve"> </w:t>
      </w:r>
      <w:r>
        <w:t>donors would not have contributed “without the assurance of a ‘permanent’ rabbinical school in Cincinnati.”  (Compl. ¶</w:t>
      </w:r>
      <w:r w:rsidR="00ED7AE0">
        <w:t> </w:t>
      </w:r>
      <w:r>
        <w:t xml:space="preserve">34.) </w:t>
      </w:r>
      <w:r w:rsidR="00A4495F">
        <w:t xml:space="preserve">Finally, the Complaint fails to identify </w:t>
      </w:r>
      <w:r w:rsidRPr="00CB5321" w:rsidR="00A4495F">
        <w:rPr>
          <w:i/>
          <w:iCs/>
        </w:rPr>
        <w:t>any</w:t>
      </w:r>
      <w:r w:rsidR="00A4495F">
        <w:t xml:space="preserve"> restricted gift that has been used in</w:t>
      </w:r>
      <w:r w:rsidR="0016302E">
        <w:t>consistently with</w:t>
      </w:r>
      <w:r w:rsidR="00A4495F">
        <w:t xml:space="preserve"> its intended purpose.</w:t>
      </w:r>
      <w:r>
        <w:t xml:space="preserve">  </w:t>
      </w:r>
    </w:p>
    <w:p w:rsidR="00067100" w:rsidP="00067100" w14:paraId="603F25F9" w14:textId="37C87572">
      <w:pPr>
        <w:pStyle w:val="BodyText"/>
      </w:pPr>
      <w:r>
        <w:t>As a result</w:t>
      </w:r>
      <w:r>
        <w:t xml:space="preserve">, the AG’s Complaint </w:t>
      </w:r>
      <w:r>
        <w:t>wholly fails to</w:t>
      </w:r>
      <w:r>
        <w:t xml:space="preserve"> clear the high hurdle of establishing entitlement to a constructive trust. That remedy is available only when the party seeking it “produce[s] clear and convincing evidence justifying it”—specifically “evidence of malicious conduct” or fraud.  </w:t>
      </w:r>
      <w:r w:rsidRPr="00261F05">
        <w:rPr>
          <w:i/>
          <w:iCs/>
        </w:rPr>
        <w:t>Bd. of Trumbull Twp. Trs. v. Rickard</w:t>
      </w:r>
      <w:r>
        <w:t>, 2017-Ohio-8143, ¶ 96,</w:t>
      </w:r>
      <w:r w:rsidR="0016302E">
        <w:t xml:space="preserve"> </w:t>
      </w:r>
      <w:r>
        <w:t xml:space="preserve">(citing </w:t>
      </w:r>
      <w:r w:rsidRPr="00261F05">
        <w:rPr>
          <w:i/>
          <w:iCs/>
        </w:rPr>
        <w:t>Univ. Hosps. of Cleveland, Inc. v. Lynch</w:t>
      </w:r>
      <w:r>
        <w:t>, 2002-Ohio-3748</w:t>
      </w:r>
      <w:r w:rsidR="0016302E">
        <w:t>, paragraph three of syllabus</w:t>
      </w:r>
      <w:r>
        <w:t xml:space="preserve">). </w:t>
      </w:r>
      <w:r>
        <w:t>As discussed above, t</w:t>
      </w:r>
      <w:r>
        <w:t>he AG alleges no facts suggesting malicious conduct or fraud, much less facts that would clearly and convincingly establish malice or fraud.</w:t>
      </w:r>
    </w:p>
    <w:p w:rsidR="00356ED0" w:rsidP="00356ED0" w14:paraId="4CE8415A" w14:textId="5E5D8616">
      <w:pPr>
        <w:pStyle w:val="BodyText"/>
      </w:pPr>
      <w:r>
        <w:t>For these reasons, the AG’s Complaint fails to allege that HUC</w:t>
      </w:r>
      <w:r w:rsidR="00A4495F">
        <w:t xml:space="preserve"> was unjustly enriched, </w:t>
      </w:r>
      <w:r w:rsidR="00524258">
        <w:t xml:space="preserve">or that the Board </w:t>
      </w:r>
      <w:r w:rsidR="00A4495F">
        <w:t xml:space="preserve">breached any fiduciary duty owed to its donors </w:t>
      </w:r>
      <w:r w:rsidR="00201682">
        <w:t>or violated</w:t>
      </w:r>
      <w:r>
        <w:t xml:space="preserve"> the terms of </w:t>
      </w:r>
      <w:r w:rsidR="00201682">
        <w:t xml:space="preserve">or abused </w:t>
      </w:r>
      <w:r>
        <w:t>any charitable trust</w:t>
      </w:r>
      <w:r w:rsidR="00A4495F">
        <w:t>. The AG fails to establish any claim upon which relief can be granted pursuant to Ohio Civ. P. 12(</w:t>
      </w:r>
      <w:r w:rsidR="00201682">
        <w:t>B</w:t>
      </w:r>
      <w:r w:rsidR="00A4495F">
        <w:t xml:space="preserve">)(6), and the </w:t>
      </w:r>
      <w:r w:rsidR="0016302E">
        <w:t xml:space="preserve">Court should dismiss the </w:t>
      </w:r>
      <w:r w:rsidR="00A4495F">
        <w:t>Complaint in its entirety</w:t>
      </w:r>
      <w:r>
        <w:t xml:space="preserve">.   </w:t>
      </w:r>
    </w:p>
    <w:p w:rsidR="00356ED0" w:rsidRPr="00356ED0" w:rsidP="00356ED0" w14:paraId="5B49C4BA" w14:textId="556A451E">
      <w:pPr>
        <w:pStyle w:val="Heading1"/>
      </w:pPr>
      <w:r>
        <w:t>CONCLUSION</w:t>
      </w:r>
    </w:p>
    <w:p w:rsidR="00356ED0" w:rsidP="00261F05" w14:paraId="5A6DDD44" w14:textId="7EC0A6D4">
      <w:pPr>
        <w:spacing w:after="160" w:line="480" w:lineRule="auto"/>
        <w:ind w:firstLine="720"/>
        <w:rPr>
          <w:rFonts w:eastAsia="Calibri"/>
        </w:rPr>
      </w:pPr>
      <w:r w:rsidRPr="00261F05">
        <w:rPr>
          <w:rFonts w:eastAsia="Calibri"/>
        </w:rPr>
        <w:t xml:space="preserve">Couched as </w:t>
      </w:r>
      <w:r w:rsidR="00F74D35">
        <w:rPr>
          <w:rFonts w:eastAsia="Calibri"/>
        </w:rPr>
        <w:t xml:space="preserve">an effort </w:t>
      </w:r>
      <w:r w:rsidRPr="00261F05">
        <w:rPr>
          <w:rFonts w:eastAsia="Calibri"/>
        </w:rPr>
        <w:t>to stop the improper diversion of charitable assets by HUC, th</w:t>
      </w:r>
      <w:r w:rsidR="00EF06F1">
        <w:rPr>
          <w:rFonts w:eastAsia="Calibri"/>
        </w:rPr>
        <w:t>is case</w:t>
      </w:r>
      <w:r w:rsidRPr="00261F05">
        <w:rPr>
          <w:rFonts w:eastAsia="Calibri"/>
        </w:rPr>
        <w:t xml:space="preserve"> </w:t>
      </w:r>
      <w:r w:rsidR="00EF06F1">
        <w:rPr>
          <w:rFonts w:eastAsia="Calibri"/>
        </w:rPr>
        <w:t xml:space="preserve">is really about the </w:t>
      </w:r>
      <w:r w:rsidRPr="00261F05">
        <w:rPr>
          <w:rFonts w:eastAsia="Calibri"/>
        </w:rPr>
        <w:t>Attorney General</w:t>
      </w:r>
      <w:r w:rsidR="00EF06F1">
        <w:rPr>
          <w:rFonts w:eastAsia="Calibri"/>
        </w:rPr>
        <w:t>’s</w:t>
      </w:r>
      <w:r w:rsidRPr="00261F05">
        <w:rPr>
          <w:rFonts w:eastAsia="Calibri"/>
        </w:rPr>
        <w:t xml:space="preserve"> </w:t>
      </w:r>
      <w:r w:rsidR="00F74D35">
        <w:rPr>
          <w:rFonts w:eastAsia="Calibri"/>
        </w:rPr>
        <w:t xml:space="preserve">heavy-handed attempt </w:t>
      </w:r>
      <w:r w:rsidRPr="00261F05" w:rsidR="004E5669">
        <w:rPr>
          <w:rFonts w:eastAsia="Calibri"/>
        </w:rPr>
        <w:t>to take over and control a religious seminary</w:t>
      </w:r>
      <w:r w:rsidR="00F74D35">
        <w:rPr>
          <w:rFonts w:eastAsia="Calibri"/>
        </w:rPr>
        <w:t>.</w:t>
      </w:r>
      <w:r w:rsidRPr="00261F05" w:rsidR="004E5669">
        <w:rPr>
          <w:rFonts w:eastAsia="Calibri"/>
        </w:rPr>
        <w:t xml:space="preserve"> The Attorney General demands that this Court put him in charge of HUC’s rabbinical program and all its </w:t>
      </w:r>
      <w:r w:rsidR="00E36F60">
        <w:rPr>
          <w:rFonts w:eastAsia="Calibri"/>
        </w:rPr>
        <w:t xml:space="preserve">Ohio </w:t>
      </w:r>
      <w:r w:rsidRPr="00261F05" w:rsidR="004E5669">
        <w:rPr>
          <w:rFonts w:eastAsia="Calibri"/>
        </w:rPr>
        <w:t xml:space="preserve">assets so he can overturn the decision of the HUC </w:t>
      </w:r>
      <w:r w:rsidR="00524258">
        <w:rPr>
          <w:rFonts w:eastAsia="Calibri"/>
        </w:rPr>
        <w:t>B</w:t>
      </w:r>
      <w:r w:rsidRPr="00261F05" w:rsidR="004E5669">
        <w:rPr>
          <w:rFonts w:eastAsia="Calibri"/>
        </w:rPr>
        <w:t>oard to close the Cincinnati rabbinical school. However, the exhibits attached to the Complaint clearly show that HUC</w:t>
      </w:r>
      <w:r w:rsidR="00524258">
        <w:rPr>
          <w:rFonts w:eastAsia="Calibri"/>
        </w:rPr>
        <w:t>’</w:t>
      </w:r>
      <w:r w:rsidRPr="00261F05" w:rsidR="004E5669">
        <w:rPr>
          <w:rFonts w:eastAsia="Calibri"/>
        </w:rPr>
        <w:t xml:space="preserve">s decision was done thoughtfully and in recognition of changing </w:t>
      </w:r>
      <w:r w:rsidR="00724D25">
        <w:rPr>
          <w:rFonts w:eastAsia="Calibri"/>
        </w:rPr>
        <w:t xml:space="preserve">population and seminary educational </w:t>
      </w:r>
      <w:r w:rsidRPr="00261F05" w:rsidR="004E5669">
        <w:rPr>
          <w:rFonts w:eastAsia="Calibri"/>
        </w:rPr>
        <w:t>trends in the Jewish community. HUC acted in accordance with its governing documents and Ohio corporate law to implement this change. The AG’s allegation</w:t>
      </w:r>
      <w:r w:rsidR="00F74D35">
        <w:rPr>
          <w:rFonts w:eastAsia="Calibri"/>
        </w:rPr>
        <w:t>s</w:t>
      </w:r>
      <w:r w:rsidRPr="00261F05" w:rsidR="004E5669">
        <w:rPr>
          <w:rFonts w:eastAsia="Calibri"/>
        </w:rPr>
        <w:t xml:space="preserve"> consist of only speculation </w:t>
      </w:r>
      <w:r w:rsidR="00F74D35">
        <w:rPr>
          <w:rFonts w:eastAsia="Calibri"/>
        </w:rPr>
        <w:t xml:space="preserve">of misdirected donations against donor wishes </w:t>
      </w:r>
      <w:r w:rsidRPr="00261F05" w:rsidR="004E5669">
        <w:rPr>
          <w:rFonts w:eastAsia="Calibri"/>
        </w:rPr>
        <w:t xml:space="preserve">and </w:t>
      </w:r>
      <w:r w:rsidR="00F74D35">
        <w:rPr>
          <w:rFonts w:eastAsia="Calibri"/>
        </w:rPr>
        <w:t xml:space="preserve">the AG pleads no facts in </w:t>
      </w:r>
      <w:r w:rsidRPr="00261F05" w:rsidR="004E5669">
        <w:rPr>
          <w:rFonts w:eastAsia="Calibri"/>
        </w:rPr>
        <w:t xml:space="preserve">support </w:t>
      </w:r>
      <w:r w:rsidR="00F74D35">
        <w:rPr>
          <w:rFonts w:eastAsia="Calibri"/>
        </w:rPr>
        <w:t xml:space="preserve">of </w:t>
      </w:r>
      <w:r w:rsidRPr="00261F05" w:rsidR="004E5669">
        <w:rPr>
          <w:rFonts w:eastAsia="Calibri"/>
        </w:rPr>
        <w:t xml:space="preserve">his </w:t>
      </w:r>
      <w:r w:rsidR="00F74D35">
        <w:rPr>
          <w:rFonts w:eastAsia="Calibri"/>
        </w:rPr>
        <w:t>gro</w:t>
      </w:r>
      <w:r w:rsidR="00524258">
        <w:rPr>
          <w:rFonts w:eastAsia="Calibri"/>
        </w:rPr>
        <w:t>ss</w:t>
      </w:r>
      <w:r w:rsidR="00F74D35">
        <w:rPr>
          <w:rFonts w:eastAsia="Calibri"/>
        </w:rPr>
        <w:t xml:space="preserve"> overreach</w:t>
      </w:r>
      <w:r w:rsidR="00524258">
        <w:rPr>
          <w:rFonts w:eastAsia="Calibri"/>
        </w:rPr>
        <w:t xml:space="preserve"> into the religious affairs of HUC</w:t>
      </w:r>
      <w:r w:rsidR="00F74D35">
        <w:rPr>
          <w:rFonts w:eastAsia="Calibri"/>
        </w:rPr>
        <w:t>. T</w:t>
      </w:r>
      <w:r w:rsidRPr="00261F05" w:rsidR="004E5669">
        <w:rPr>
          <w:rFonts w:eastAsia="Calibri"/>
        </w:rPr>
        <w:t xml:space="preserve">he United States and Ohio Constitutions exist to resist governmental </w:t>
      </w:r>
      <w:r w:rsidR="00F74D35">
        <w:rPr>
          <w:rFonts w:eastAsia="Calibri"/>
        </w:rPr>
        <w:t xml:space="preserve">intrusion into religious </w:t>
      </w:r>
      <w:r w:rsidR="00524258">
        <w:rPr>
          <w:rFonts w:eastAsia="Calibri"/>
        </w:rPr>
        <w:t>matters like the AG attempts here</w:t>
      </w:r>
      <w:r w:rsidRPr="00261F05" w:rsidR="004E5669">
        <w:rPr>
          <w:rFonts w:eastAsia="Calibri"/>
        </w:rPr>
        <w:t xml:space="preserve">. </w:t>
      </w:r>
      <w:r w:rsidR="00F96225">
        <w:rPr>
          <w:rFonts w:eastAsia="Calibri"/>
        </w:rPr>
        <w:t xml:space="preserve">The word “Religion” is </w:t>
      </w:r>
      <w:r w:rsidR="0016302E">
        <w:rPr>
          <w:rFonts w:eastAsia="Calibri"/>
        </w:rPr>
        <w:t xml:space="preserve">contained in </w:t>
      </w:r>
      <w:r w:rsidR="00381F0B">
        <w:rPr>
          <w:rFonts w:eastAsia="Calibri"/>
        </w:rPr>
        <w:t>HUC’s name</w:t>
      </w:r>
      <w:r w:rsidR="00F96225">
        <w:rPr>
          <w:rFonts w:eastAsia="Calibri"/>
        </w:rPr>
        <w:t xml:space="preserve"> and the training of the clerical and lay leadership of the Reform movement of the Jewish religion </w:t>
      </w:r>
      <w:r w:rsidR="00381F0B">
        <w:rPr>
          <w:rFonts w:eastAsia="Calibri"/>
        </w:rPr>
        <w:t xml:space="preserve">which the AG seeks to control </w:t>
      </w:r>
      <w:r w:rsidR="00F96225">
        <w:rPr>
          <w:rFonts w:eastAsia="Calibri"/>
        </w:rPr>
        <w:t xml:space="preserve">is </w:t>
      </w:r>
      <w:r w:rsidR="00DA135D">
        <w:rPr>
          <w:rFonts w:eastAsia="Calibri"/>
        </w:rPr>
        <w:t>why</w:t>
      </w:r>
      <w:r w:rsidR="00F96225">
        <w:rPr>
          <w:rFonts w:eastAsia="Calibri"/>
        </w:rPr>
        <w:t xml:space="preserve"> HUC exists.</w:t>
      </w:r>
      <w:r w:rsidR="00DA135D">
        <w:rPr>
          <w:rFonts w:eastAsia="Calibri"/>
        </w:rPr>
        <w:t xml:space="preserve"> </w:t>
      </w:r>
      <w:r w:rsidR="00381F0B">
        <w:rPr>
          <w:rFonts w:eastAsia="Calibri"/>
        </w:rPr>
        <w:t xml:space="preserve">The </w:t>
      </w:r>
      <w:r w:rsidRPr="00261F05" w:rsidR="004E5669">
        <w:rPr>
          <w:rFonts w:eastAsia="Calibri"/>
        </w:rPr>
        <w:t xml:space="preserve">Complaint is constitutionally barred and fails to state any claim upon which relief can be granted. This case should be dismissed in its entirety.      </w:t>
      </w:r>
    </w:p>
    <w:p w:rsidR="00356ED0" w:rsidP="00356ED0" w14:paraId="726F876F" w14:textId="77777777">
      <w:pPr>
        <w:autoSpaceDE w:val="0"/>
        <w:autoSpaceDN w:val="0"/>
        <w:adjustRightInd w:val="0"/>
        <w:spacing w:after="0" w:line="480" w:lineRule="auto"/>
        <w:jc w:val="left"/>
        <w:rPr>
          <w:rFonts w:eastAsia="Calibri"/>
        </w:rPr>
      </w:pPr>
    </w:p>
    <w:p w:rsidR="00356ED0" w:rsidP="00356ED0" w14:paraId="1077019C" w14:textId="77777777">
      <w:pPr>
        <w:autoSpaceDE w:val="0"/>
        <w:autoSpaceDN w:val="0"/>
        <w:adjustRightInd w:val="0"/>
        <w:spacing w:after="0" w:line="480" w:lineRule="auto"/>
        <w:ind w:left="4320"/>
        <w:jc w:val="left"/>
        <w:rPr>
          <w:rFonts w:eastAsia="Calibri"/>
        </w:rPr>
      </w:pPr>
    </w:p>
    <w:p w:rsidR="00094D8B" w:rsidRPr="00CF58BA" w:rsidP="00094D8B" w14:paraId="6D47F3F9" w14:textId="512E5E3A">
      <w:pPr>
        <w:autoSpaceDE w:val="0"/>
        <w:autoSpaceDN w:val="0"/>
        <w:adjustRightInd w:val="0"/>
        <w:spacing w:after="0" w:line="480" w:lineRule="auto"/>
        <w:ind w:left="4320"/>
        <w:rPr>
          <w:rFonts w:eastAsia="Calibri"/>
        </w:rPr>
      </w:pPr>
      <w:r w:rsidRPr="00CF58BA">
        <w:rPr>
          <w:rFonts w:eastAsia="Calibri"/>
        </w:rPr>
        <w:t>Respectfully submitted,</w:t>
      </w:r>
    </w:p>
    <w:p w:rsidR="00094D8B" w:rsidRPr="00CF58BA" w:rsidP="00094D8B" w14:paraId="7C6786DF" w14:textId="0C503B38">
      <w:pPr>
        <w:spacing w:after="0"/>
        <w:ind w:firstLine="4320"/>
        <w:jc w:val="left"/>
        <w:rPr>
          <w:rFonts w:eastAsia="Times New Roman"/>
          <w:i/>
          <w:iCs/>
          <w:u w:val="single"/>
        </w:rPr>
      </w:pPr>
      <w:r w:rsidRPr="00CF58BA">
        <w:rPr>
          <w:rFonts w:eastAsia="Times New Roman"/>
          <w:u w:val="single"/>
        </w:rPr>
        <w:t xml:space="preserve">  </w:t>
      </w:r>
      <w:r w:rsidRPr="00CF58BA">
        <w:rPr>
          <w:rFonts w:eastAsia="Times New Roman"/>
          <w:i/>
          <w:iCs/>
          <w:u w:val="single"/>
        </w:rPr>
        <w:t xml:space="preserve">/s/ </w:t>
      </w:r>
      <w:r w:rsidR="00C80111">
        <w:rPr>
          <w:rFonts w:eastAsia="Times New Roman"/>
          <w:i/>
          <w:iCs/>
          <w:u w:val="single"/>
        </w:rPr>
        <w:t>Robert A. Zimmerman</w:t>
      </w:r>
      <w:r w:rsidRPr="00CF58BA">
        <w:rPr>
          <w:rFonts w:eastAsia="Times New Roman"/>
          <w:i/>
          <w:iCs/>
          <w:u w:val="single"/>
        </w:rPr>
        <w:tab/>
        <w:t xml:space="preserve">               </w:t>
      </w:r>
    </w:p>
    <w:p w:rsidR="00094D8B" w:rsidRPr="00CF58BA" w:rsidP="00094D8B" w14:paraId="2AAE1D1D" w14:textId="77777777">
      <w:pPr>
        <w:spacing w:after="0"/>
        <w:ind w:left="3600" w:firstLine="720"/>
        <w:jc w:val="left"/>
        <w:rPr>
          <w:rFonts w:eastAsia="PMingLiU"/>
        </w:rPr>
      </w:pPr>
      <w:r w:rsidRPr="00CF58BA">
        <w:rPr>
          <w:rFonts w:eastAsia="PMingLiU"/>
        </w:rPr>
        <w:t>Robert A. Zimmerman (0055478)</w:t>
      </w:r>
    </w:p>
    <w:p w:rsidR="00094D8B" w:rsidRPr="00CF58BA" w:rsidP="00094D8B" w14:paraId="749F9E00" w14:textId="77777777">
      <w:pPr>
        <w:spacing w:after="0"/>
        <w:ind w:left="3600" w:firstLine="720"/>
        <w:jc w:val="left"/>
        <w:rPr>
          <w:rFonts w:eastAsia="PMingLiU"/>
        </w:rPr>
      </w:pPr>
      <w:r w:rsidRPr="00CF58BA">
        <w:rPr>
          <w:rFonts w:eastAsia="PMingLiU"/>
        </w:rPr>
        <w:t>Michael D. Meuti (0087233)</w:t>
      </w:r>
    </w:p>
    <w:p w:rsidR="00094D8B" w:rsidRPr="00CF58BA" w:rsidP="00094D8B" w14:paraId="2A7D563F" w14:textId="77777777">
      <w:pPr>
        <w:keepNext/>
        <w:spacing w:after="0"/>
        <w:ind w:left="4320"/>
        <w:jc w:val="left"/>
        <w:rPr>
          <w:rFonts w:eastAsia="Calibri"/>
        </w:rPr>
      </w:pPr>
      <w:r w:rsidRPr="00CF58BA">
        <w:rPr>
          <w:rFonts w:eastAsia="Calibri"/>
        </w:rPr>
        <w:t>BENESCH, FRIEDLANDER, COPLAN &amp; ARONOFF LLP</w:t>
      </w:r>
    </w:p>
    <w:p w:rsidR="00094D8B" w:rsidRPr="00CF58BA" w:rsidP="00094D8B" w14:paraId="25626643" w14:textId="77777777">
      <w:pPr>
        <w:keepNext/>
        <w:spacing w:after="0"/>
        <w:ind w:left="4320"/>
        <w:jc w:val="left"/>
        <w:rPr>
          <w:rFonts w:eastAsia="Calibri"/>
        </w:rPr>
      </w:pPr>
      <w:r w:rsidRPr="00CF58BA">
        <w:rPr>
          <w:rFonts w:eastAsia="Calibri"/>
        </w:rPr>
        <w:t>127 Public Square, Suite 4900</w:t>
      </w:r>
    </w:p>
    <w:p w:rsidR="00094D8B" w:rsidRPr="00CF58BA" w:rsidP="00094D8B" w14:paraId="4AF9D4BB" w14:textId="77777777">
      <w:pPr>
        <w:keepNext/>
        <w:spacing w:after="0"/>
        <w:ind w:left="4320"/>
        <w:jc w:val="left"/>
        <w:rPr>
          <w:rFonts w:eastAsia="Calibri"/>
        </w:rPr>
      </w:pPr>
      <w:r w:rsidRPr="00CF58BA">
        <w:rPr>
          <w:rFonts w:eastAsia="Calibri"/>
        </w:rPr>
        <w:t>Cleveland, Ohio 44114</w:t>
      </w:r>
    </w:p>
    <w:p w:rsidR="00094D8B" w:rsidRPr="00CF58BA" w:rsidP="00094D8B" w14:paraId="6D62F335" w14:textId="77777777">
      <w:pPr>
        <w:keepNext/>
        <w:spacing w:after="0"/>
        <w:ind w:left="4320"/>
        <w:jc w:val="left"/>
        <w:rPr>
          <w:rFonts w:eastAsia="Calibri"/>
        </w:rPr>
      </w:pPr>
      <w:r w:rsidRPr="00CF58BA">
        <w:rPr>
          <w:rFonts w:eastAsia="Calibri"/>
        </w:rPr>
        <w:t>Telephone: (216) 363-4500</w:t>
      </w:r>
    </w:p>
    <w:p w:rsidR="00094D8B" w:rsidRPr="00CF58BA" w:rsidP="00094D8B" w14:paraId="081919F7" w14:textId="77777777">
      <w:pPr>
        <w:keepNext/>
        <w:spacing w:after="0"/>
        <w:ind w:left="4320"/>
        <w:jc w:val="left"/>
        <w:rPr>
          <w:rFonts w:eastAsia="Calibri"/>
        </w:rPr>
      </w:pPr>
      <w:r w:rsidRPr="00CF58BA">
        <w:rPr>
          <w:rFonts w:eastAsia="Calibri"/>
        </w:rPr>
        <w:t>Facsimile: (216) 363-4588</w:t>
      </w:r>
    </w:p>
    <w:p w:rsidR="00094D8B" w:rsidRPr="00CF58BA" w:rsidP="00094D8B" w14:paraId="4605C6D0" w14:textId="77777777">
      <w:pPr>
        <w:keepNext/>
        <w:spacing w:after="0"/>
        <w:ind w:left="4320"/>
        <w:jc w:val="left"/>
        <w:rPr>
          <w:rFonts w:eastAsia="Calibri"/>
        </w:rPr>
      </w:pPr>
      <w:r w:rsidRPr="00CF58BA">
        <w:rPr>
          <w:rFonts w:eastAsia="Calibri"/>
        </w:rPr>
        <w:t xml:space="preserve">Email: </w:t>
      </w:r>
      <w:r w:rsidRPr="00CF58BA">
        <w:rPr>
          <w:rFonts w:eastAsia="Calibri"/>
        </w:rPr>
        <w:tab/>
        <w:t>rzimmerman@beneschlaw.com</w:t>
      </w:r>
    </w:p>
    <w:p w:rsidR="00094D8B" w:rsidRPr="00CF58BA" w:rsidP="00094D8B" w14:paraId="66A8E83C" w14:textId="77777777">
      <w:pPr>
        <w:keepNext/>
        <w:spacing w:after="0"/>
        <w:ind w:left="4320"/>
        <w:jc w:val="left"/>
        <w:rPr>
          <w:rFonts w:eastAsia="Calibri"/>
        </w:rPr>
      </w:pPr>
      <w:r w:rsidRPr="00CF58BA">
        <w:rPr>
          <w:rFonts w:eastAsia="Calibri"/>
        </w:rPr>
        <w:tab/>
        <w:t>mmeuti@beneschlaw.com</w:t>
      </w:r>
    </w:p>
    <w:p w:rsidR="00094D8B" w:rsidP="00094D8B" w14:paraId="78E23B5B" w14:textId="77777777">
      <w:pPr>
        <w:spacing w:after="0"/>
        <w:jc w:val="left"/>
        <w:rPr>
          <w:rFonts w:eastAsia="PMingLiU"/>
        </w:rPr>
      </w:pPr>
    </w:p>
    <w:p w:rsidR="00094D8B" w:rsidRPr="00CF58BA" w:rsidP="00094D8B" w14:paraId="1A0C120A" w14:textId="77777777">
      <w:pPr>
        <w:spacing w:after="0"/>
        <w:ind w:left="3960" w:firstLine="360"/>
        <w:jc w:val="left"/>
        <w:rPr>
          <w:rFonts w:eastAsia="PMingLiU"/>
        </w:rPr>
      </w:pPr>
      <w:r w:rsidRPr="00CF58BA">
        <w:rPr>
          <w:rFonts w:eastAsia="PMingLiU"/>
        </w:rPr>
        <w:t>Jennifer M. Turk (0073781)</w:t>
      </w:r>
    </w:p>
    <w:p w:rsidR="00094D8B" w:rsidRPr="00CF58BA" w:rsidP="00094D8B" w14:paraId="5C1CC666" w14:textId="77777777">
      <w:pPr>
        <w:spacing w:after="0"/>
        <w:ind w:left="3600" w:firstLine="720"/>
        <w:jc w:val="left"/>
        <w:rPr>
          <w:rFonts w:eastAsia="PMingLiU"/>
        </w:rPr>
      </w:pPr>
      <w:r w:rsidRPr="00CF58BA">
        <w:rPr>
          <w:rFonts w:eastAsia="PMingLiU"/>
        </w:rPr>
        <w:t>Nicholas P. Lacey (0100042)</w:t>
      </w:r>
    </w:p>
    <w:p w:rsidR="00094D8B" w:rsidRPr="00CF58BA" w:rsidP="00094D8B" w14:paraId="56F41CCE" w14:textId="77777777">
      <w:pPr>
        <w:spacing w:after="0"/>
        <w:ind w:left="3600" w:firstLine="720"/>
        <w:jc w:val="left"/>
      </w:pPr>
      <w:r w:rsidRPr="00CF58BA">
        <w:t>Jessica M. Frank (0106053)</w:t>
      </w:r>
    </w:p>
    <w:p w:rsidR="00094D8B" w:rsidRPr="00CF58BA" w:rsidP="00094D8B" w14:paraId="6E01FE4C" w14:textId="77777777">
      <w:pPr>
        <w:keepNext/>
        <w:spacing w:after="0"/>
        <w:ind w:left="4320"/>
        <w:jc w:val="left"/>
        <w:rPr>
          <w:rFonts w:eastAsia="Calibri"/>
        </w:rPr>
      </w:pPr>
      <w:r w:rsidRPr="00CF58BA">
        <w:rPr>
          <w:rFonts w:eastAsia="Calibri"/>
        </w:rPr>
        <w:t>BENESCH, FRIEDLANDER, COPLAN &amp; ARONOFF LLP</w:t>
      </w:r>
    </w:p>
    <w:p w:rsidR="00094D8B" w:rsidRPr="00CF58BA" w:rsidP="00094D8B" w14:paraId="5D85A64A" w14:textId="77777777">
      <w:pPr>
        <w:keepNext/>
        <w:spacing w:after="0"/>
        <w:ind w:left="4320"/>
        <w:jc w:val="left"/>
        <w:rPr>
          <w:rFonts w:eastAsia="Calibri"/>
        </w:rPr>
      </w:pPr>
      <w:r w:rsidRPr="00CF58BA">
        <w:rPr>
          <w:rFonts w:eastAsia="Calibri"/>
        </w:rPr>
        <w:t>41 South High Street, Suite 2600</w:t>
      </w:r>
    </w:p>
    <w:p w:rsidR="00094D8B" w:rsidRPr="00CF58BA" w:rsidP="00094D8B" w14:paraId="6B49484F" w14:textId="77777777">
      <w:pPr>
        <w:keepNext/>
        <w:spacing w:after="0"/>
        <w:ind w:left="4320"/>
        <w:jc w:val="left"/>
        <w:rPr>
          <w:rFonts w:eastAsia="Calibri"/>
        </w:rPr>
      </w:pPr>
      <w:r w:rsidRPr="00CF58BA">
        <w:rPr>
          <w:rFonts w:eastAsia="Calibri"/>
        </w:rPr>
        <w:t>Columbus, Ohio  43215</w:t>
      </w:r>
    </w:p>
    <w:p w:rsidR="00094D8B" w:rsidRPr="00CF58BA" w:rsidP="00094D8B" w14:paraId="75680052" w14:textId="77777777">
      <w:pPr>
        <w:keepNext/>
        <w:spacing w:after="0"/>
        <w:ind w:left="4320"/>
        <w:jc w:val="left"/>
        <w:rPr>
          <w:rFonts w:eastAsia="Calibri"/>
        </w:rPr>
      </w:pPr>
      <w:r w:rsidRPr="00CF58BA">
        <w:rPr>
          <w:rFonts w:eastAsia="Calibri"/>
        </w:rPr>
        <w:t>Telephone: (614) 223-9300</w:t>
      </w:r>
    </w:p>
    <w:p w:rsidR="00094D8B" w:rsidRPr="00CF58BA" w:rsidP="00094D8B" w14:paraId="31E15349" w14:textId="77777777">
      <w:pPr>
        <w:keepNext/>
        <w:spacing w:after="0"/>
        <w:ind w:left="4320"/>
        <w:jc w:val="left"/>
        <w:rPr>
          <w:rFonts w:eastAsia="Calibri"/>
        </w:rPr>
      </w:pPr>
      <w:r w:rsidRPr="00CF58BA">
        <w:rPr>
          <w:rFonts w:eastAsia="Calibri"/>
        </w:rPr>
        <w:t>Facsimile: (614) 223-9330</w:t>
      </w:r>
    </w:p>
    <w:p w:rsidR="00094D8B" w:rsidRPr="00CF58BA" w:rsidP="00094D8B" w14:paraId="2C44D6FC" w14:textId="77777777">
      <w:pPr>
        <w:keepNext/>
        <w:spacing w:after="0"/>
        <w:ind w:left="4320"/>
        <w:jc w:val="left"/>
        <w:rPr>
          <w:rFonts w:eastAsia="Calibri"/>
        </w:rPr>
      </w:pPr>
      <w:r w:rsidRPr="00CF58BA">
        <w:rPr>
          <w:rFonts w:eastAsia="Calibri"/>
        </w:rPr>
        <w:t>Email: jturk@beneschlaw.com</w:t>
      </w:r>
    </w:p>
    <w:p w:rsidR="00094D8B" w:rsidRPr="00CF58BA" w:rsidP="00094D8B" w14:paraId="67F8559D" w14:textId="77777777">
      <w:pPr>
        <w:keepNext/>
        <w:spacing w:after="0"/>
        <w:ind w:left="4320"/>
        <w:jc w:val="left"/>
        <w:rPr>
          <w:rFonts w:eastAsia="Calibri"/>
        </w:rPr>
      </w:pPr>
      <w:r w:rsidRPr="00CF58BA">
        <w:rPr>
          <w:rFonts w:eastAsia="Calibri"/>
        </w:rPr>
        <w:tab/>
        <w:t>nlacey@beneschlaw.com</w:t>
      </w:r>
    </w:p>
    <w:p w:rsidR="00094D8B" w:rsidRPr="00CF58BA" w:rsidP="00094D8B" w14:paraId="3CF96098" w14:textId="77777777">
      <w:pPr>
        <w:keepNext/>
        <w:spacing w:after="0"/>
        <w:ind w:left="4320"/>
        <w:jc w:val="left"/>
        <w:rPr>
          <w:rFonts w:eastAsia="Calibri"/>
        </w:rPr>
      </w:pPr>
      <w:r w:rsidRPr="00CF58BA">
        <w:rPr>
          <w:rFonts w:eastAsia="Calibri"/>
        </w:rPr>
        <w:tab/>
        <w:t>jfrank@beneschlaw.com</w:t>
      </w:r>
    </w:p>
    <w:p w:rsidR="00094D8B" w:rsidRPr="00CF58BA" w:rsidP="00094D8B" w14:paraId="45FB8B06" w14:textId="77777777">
      <w:pPr>
        <w:keepNext/>
        <w:spacing w:after="0"/>
        <w:jc w:val="left"/>
        <w:rPr>
          <w:rFonts w:eastAsia="Calibri"/>
        </w:rPr>
      </w:pPr>
    </w:p>
    <w:p w:rsidR="00094D8B" w:rsidRPr="00CF58BA" w:rsidP="00094D8B" w14:paraId="5E113CEB" w14:textId="77777777">
      <w:pPr>
        <w:spacing w:after="0"/>
        <w:ind w:left="4320"/>
        <w:rPr>
          <w:rFonts w:eastAsia="Times New Roman"/>
          <w:i/>
          <w:iCs/>
          <w:szCs w:val="20"/>
        </w:rPr>
      </w:pPr>
      <w:r w:rsidRPr="00CF58BA">
        <w:rPr>
          <w:rFonts w:eastAsia="Times New Roman"/>
          <w:i/>
          <w:iCs/>
          <w:szCs w:val="20"/>
        </w:rPr>
        <w:t>Attorneys for Defendant Hebrew Union College – Jewish Institute of Religion</w:t>
      </w:r>
    </w:p>
    <w:p w:rsidR="00094D8B" w:rsidP="00094D8B" w14:paraId="4E66BB3F" w14:textId="562A311C">
      <w:pPr>
        <w:spacing w:after="160" w:line="259" w:lineRule="auto"/>
        <w:jc w:val="left"/>
        <w:rPr>
          <w:rFonts w:eastAsia="Calibri"/>
          <w:b/>
          <w:bCs/>
        </w:rPr>
      </w:pPr>
      <w:r>
        <w:rPr>
          <w:rFonts w:eastAsia="Calibri"/>
          <w:b/>
          <w:bCs/>
        </w:rPr>
        <w:br w:type="page"/>
      </w:r>
    </w:p>
    <w:p w:rsidR="00094D8B" w:rsidRPr="00094D8B" w:rsidP="00094D8B" w14:paraId="712F7C65" w14:textId="77777777">
      <w:pPr>
        <w:spacing w:after="160" w:line="259" w:lineRule="auto"/>
        <w:rPr>
          <w:rFonts w:eastAsia="Calibri"/>
          <w:b/>
          <w:bCs/>
        </w:rPr>
      </w:pPr>
    </w:p>
    <w:p w:rsidR="00CF58BA" w:rsidRPr="00CF58BA" w:rsidP="00CF58BA" w14:paraId="6F1AEF10" w14:textId="77777777">
      <w:pPr>
        <w:tabs>
          <w:tab w:val="left" w:pos="-720"/>
          <w:tab w:val="left" w:pos="0"/>
          <w:tab w:val="left" w:pos="1440"/>
        </w:tabs>
        <w:autoSpaceDE w:val="0"/>
        <w:autoSpaceDN w:val="0"/>
        <w:adjustRightInd w:val="0"/>
        <w:spacing w:after="0"/>
        <w:jc w:val="center"/>
        <w:rPr>
          <w:rFonts w:eastAsia="Calibri"/>
          <w:b/>
          <w:bCs/>
        </w:rPr>
      </w:pPr>
      <w:r w:rsidRPr="00CF58BA">
        <w:rPr>
          <w:rFonts w:eastAsia="Calibri"/>
          <w:b/>
          <w:bCs/>
          <w:u w:val="single"/>
        </w:rPr>
        <w:t>CERTIFICATE OF SERVICE</w:t>
      </w:r>
    </w:p>
    <w:p w:rsidR="00CF58BA" w:rsidRPr="00CF58BA" w:rsidP="00CF58BA" w14:paraId="77521DAA" w14:textId="77777777">
      <w:pPr>
        <w:tabs>
          <w:tab w:val="left" w:pos="-720"/>
          <w:tab w:val="left" w:pos="0"/>
          <w:tab w:val="left" w:pos="1440"/>
        </w:tabs>
        <w:autoSpaceDE w:val="0"/>
        <w:autoSpaceDN w:val="0"/>
        <w:adjustRightInd w:val="0"/>
        <w:spacing w:after="0"/>
        <w:jc w:val="center"/>
        <w:rPr>
          <w:rFonts w:eastAsia="Calibri"/>
          <w:b/>
          <w:bCs/>
        </w:rPr>
      </w:pPr>
    </w:p>
    <w:p w:rsidR="00CF58BA" w:rsidRPr="00CF58BA" w:rsidP="00CF58BA" w14:paraId="2448EF7B" w14:textId="65AC7720">
      <w:pPr>
        <w:spacing w:after="0" w:line="480" w:lineRule="auto"/>
        <w:ind w:firstLine="720"/>
        <w:rPr>
          <w:rFonts w:eastAsia="Calibri"/>
          <w:u w:val="single"/>
        </w:rPr>
      </w:pPr>
      <w:r w:rsidRPr="00CF58BA">
        <w:rPr>
          <w:rFonts w:eastAsia="Calibri"/>
        </w:rPr>
        <w:t xml:space="preserve">The undersigned certifies that a true and accurate copy of the foregoing was served on </w:t>
      </w:r>
      <w:r w:rsidR="00094D8B">
        <w:rPr>
          <w:rFonts w:eastAsia="Calibri"/>
        </w:rPr>
        <w:t>June 11</w:t>
      </w:r>
      <w:r w:rsidRPr="00CF58BA">
        <w:rPr>
          <w:rFonts w:eastAsia="Calibri"/>
        </w:rPr>
        <w:t>, 2026 upon all counsel of record via the Court’s electronic filing system.</w:t>
      </w:r>
    </w:p>
    <w:p w:rsidR="00CF58BA" w:rsidRPr="00CF58BA" w:rsidP="00CF58BA" w14:paraId="1D180ABE" w14:textId="77777777">
      <w:pPr>
        <w:autoSpaceDE w:val="0"/>
        <w:autoSpaceDN w:val="0"/>
        <w:adjustRightInd w:val="0"/>
        <w:spacing w:after="0"/>
        <w:jc w:val="left"/>
        <w:rPr>
          <w:rFonts w:eastAsia="Calibri"/>
        </w:rPr>
      </w:pPr>
    </w:p>
    <w:p w:rsidR="00CF58BA" w:rsidRPr="00CF58BA" w:rsidP="00CF58BA" w14:paraId="3E60D252" w14:textId="334C2C67">
      <w:pPr>
        <w:spacing w:after="0"/>
        <w:ind w:firstLine="4320"/>
        <w:jc w:val="left"/>
        <w:rPr>
          <w:rFonts w:eastAsia="Times New Roman"/>
          <w:i/>
          <w:iCs/>
          <w:u w:val="single"/>
        </w:rPr>
      </w:pPr>
      <w:r w:rsidRPr="00CF58BA">
        <w:rPr>
          <w:rFonts w:eastAsia="Times New Roman"/>
          <w:u w:val="single"/>
        </w:rPr>
        <w:t xml:space="preserve">  </w:t>
      </w:r>
      <w:r w:rsidRPr="00CF58BA">
        <w:rPr>
          <w:rFonts w:eastAsia="Times New Roman"/>
          <w:i/>
          <w:iCs/>
          <w:u w:val="single"/>
        </w:rPr>
        <w:t xml:space="preserve">/s/ </w:t>
      </w:r>
      <w:r w:rsidR="00C80111">
        <w:rPr>
          <w:rFonts w:eastAsia="Times New Roman"/>
          <w:i/>
          <w:iCs/>
          <w:u w:val="single"/>
        </w:rPr>
        <w:t>Robert A. Zimmerman</w:t>
      </w:r>
      <w:r w:rsidRPr="00CF58BA">
        <w:rPr>
          <w:rFonts w:eastAsia="Times New Roman"/>
          <w:i/>
          <w:iCs/>
          <w:u w:val="single"/>
        </w:rPr>
        <w:tab/>
        <w:t xml:space="preserve">               </w:t>
      </w:r>
    </w:p>
    <w:p w:rsidR="00094D8B" w:rsidRPr="00CF58BA" w:rsidP="00094D8B" w14:paraId="31D57D69" w14:textId="77777777">
      <w:pPr>
        <w:spacing w:after="0"/>
        <w:ind w:left="3600" w:firstLine="720"/>
        <w:jc w:val="left"/>
        <w:rPr>
          <w:rFonts w:eastAsia="PMingLiU"/>
        </w:rPr>
      </w:pPr>
      <w:r w:rsidRPr="00CF58BA">
        <w:rPr>
          <w:rFonts w:eastAsia="PMingLiU"/>
        </w:rPr>
        <w:t>Robert A. Zimmerman (0055478)</w:t>
      </w:r>
    </w:p>
    <w:p w:rsidR="00CF58BA" w:rsidRPr="00CF58BA" w:rsidP="00CF58BA" w14:paraId="51D247CC" w14:textId="77777777">
      <w:pPr>
        <w:tabs>
          <w:tab w:val="left" w:pos="-720"/>
          <w:tab w:val="left" w:pos="0"/>
          <w:tab w:val="left" w:pos="1440"/>
        </w:tabs>
        <w:autoSpaceDE w:val="0"/>
        <w:autoSpaceDN w:val="0"/>
        <w:adjustRightInd w:val="0"/>
        <w:spacing w:after="0"/>
        <w:ind w:left="4320"/>
        <w:rPr>
          <w:rFonts w:eastAsia="Calibri"/>
        </w:rPr>
      </w:pPr>
    </w:p>
    <w:p w:rsidR="001F37F0" w:rsidRPr="00433F23" w:rsidP="00FE2DAA" w14:paraId="3BAC7CEE" w14:textId="77777777"/>
    <w:sectPr w:rsidSect="001B798A">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10;" wne:acdName="acd0" wne:fciIndexBasedOn="0065"/>
    <wne:acd wne:argValue="AQAAAAIA&#10;" wne:acdName="acd1" wne:fciIndexBasedOn="0065"/>
    <wne:acd wne:argValue="AQAAAAMA&#10;" wne:acdName="acd2" wne:fciIndexBasedOn="0065"/>
    <wne:acd wne:argValue="AQAAAAQA&#10;" wne:acdName="acd3" wne:fciIndexBasedOn="0065"/>
    <wne:acd wne:argValue="AQAAAAUA&#10;" wne:acdName="acd4" wne:fciIndexBasedOn="0065"/>
    <wne:acd wne:argValue="AQAAAAYA&#10;" wne:acdName="acd5" wne:fciIndexBasedOn="0065"/>
    <wne:acd wne:argValue="AQAAAAcA&#10;" wne:acdName="acd6" wne:fciIndexBasedOn="0065"/>
    <wne:acd wne:argValue="AQAAAAgA&#10;" wne:acdName="acd7" wne:fciIndexBasedOn="0065"/>
    <wne:acd wne:argValue="AQAAAAk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ngravers MT">
    <w:panose1 w:val="0209070708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BCD" w14:paraId="472590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8BA" w:rsidP="00CD4A32" w14:paraId="0248E56D" w14:textId="4B46C0D2">
    <w:pPr>
      <w:pStyle w:val="Footer"/>
      <w:tabs>
        <w:tab w:val="left" w:pos="5621"/>
      </w:tabs>
      <w:jc w:val="left"/>
    </w:pPr>
    <w:r>
      <w:tab/>
    </w:r>
    <w:sdt>
      <w:sdtPr>
        <w:id w:val="1649829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BCD" w14:paraId="017FE6F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A32" w:rsidP="00CD4A32" w14:paraId="5DE32992" w14:textId="77777777">
    <w:pPr>
      <w:pStyle w:val="Footer"/>
      <w:tabs>
        <w:tab w:val="left" w:pos="5621"/>
      </w:tabs>
      <w:jc w:val="left"/>
    </w:pPr>
    <w:r>
      <w:tab/>
    </w:r>
    <w:sdt>
      <w:sdtPr>
        <w:id w:val="-6061152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3054" w:rsidP="00CF58BA" w14:paraId="4B460E72" w14:textId="77777777">
      <w:pPr>
        <w:spacing w:after="0"/>
      </w:pPr>
      <w:r>
        <w:separator/>
      </w:r>
    </w:p>
  </w:footnote>
  <w:footnote w:type="continuationSeparator" w:id="1">
    <w:p w:rsidR="00323054" w:rsidP="00CF58BA" w14:paraId="2C6DED47" w14:textId="77777777">
      <w:pPr>
        <w:spacing w:after="0"/>
      </w:pPr>
      <w:r>
        <w:continuationSeparator/>
      </w:r>
    </w:p>
  </w:footnote>
  <w:footnote w:id="2">
    <w:p w:rsidR="00E47277" w:rsidRPr="00E47277" w:rsidP="00B535FD" w14:paraId="18A304E1" w14:textId="348F64D4">
      <w:pPr>
        <w:pStyle w:val="FootnoteText"/>
      </w:pPr>
      <w:r>
        <w:rPr>
          <w:rStyle w:val="FootnoteReference"/>
        </w:rPr>
        <w:footnoteRef/>
      </w:r>
      <w:r>
        <w:t xml:space="preserve"> </w:t>
      </w:r>
      <w:r w:rsidRPr="00CB5321">
        <w:t>Judaism</w:t>
      </w:r>
      <w:r w:rsidRPr="00E47277">
        <w:t xml:space="preserve"> has three major denominations, Orthodox, Conservative and Reform. Reform is the largest and it seeks to adapt Jewish tradition to modern sensibilities with an emphasis on egalitarianism, pluralism and social justice.   </w:t>
      </w:r>
    </w:p>
  </w:footnote>
  <w:footnote w:id="3">
    <w:p w:rsidR="00F702CD" w:rsidP="00B535FD" w14:paraId="085A2256" w14:textId="61DC3CCE">
      <w:pPr>
        <w:pStyle w:val="FootnoteText"/>
      </w:pPr>
      <w:r>
        <w:rPr>
          <w:rStyle w:val="FootnoteReference"/>
        </w:rPr>
        <w:footnoteRef/>
      </w:r>
      <w:r>
        <w:t xml:space="preserve"> </w:t>
      </w:r>
      <w:r w:rsidRPr="009123AD" w:rsidR="009123AD">
        <w:t xml:space="preserve">Thirty-Six (36) percent of American Jews </w:t>
      </w:r>
      <w:r w:rsidRPr="00CB5321" w:rsidR="009123AD">
        <w:t>live</w:t>
      </w:r>
      <w:r w:rsidRPr="009123AD" w:rsidR="009123AD">
        <w:t xml:space="preserve"> in the States of New York and California. Two (2) percent live in Ohio. </w:t>
      </w:r>
      <w:r w:rsidRPr="00802A4D" w:rsidR="009123AD">
        <w:rPr>
          <w:i/>
          <w:iCs/>
        </w:rPr>
        <w:t>American Jewish Population Estimates 2020 Summary &amp; Highlights</w:t>
      </w:r>
      <w:r w:rsidRPr="009123AD" w:rsidR="009123AD">
        <w:t>, Brandeis Steinhardt Social Research Institute, p. 8.</w:t>
      </w:r>
      <w:r w:rsidR="009123AD">
        <w:t xml:space="preserve">    </w:t>
      </w:r>
    </w:p>
  </w:footnote>
  <w:footnote w:id="4">
    <w:p w:rsidR="000615FE" w:rsidP="002A5B0C" w14:paraId="1C8BF767" w14:textId="464A6B9C">
      <w:pPr>
        <w:pStyle w:val="FootnoteText"/>
      </w:pPr>
      <w:r>
        <w:rPr>
          <w:rStyle w:val="FootnoteReference"/>
        </w:rPr>
        <w:footnoteRef/>
      </w:r>
      <w:r>
        <w:t xml:space="preserve"> </w:t>
      </w:r>
      <w:r w:rsidRPr="00CB5321">
        <w:rPr>
          <w:i/>
          <w:iCs/>
        </w:rPr>
        <w:t>State of Ohio, ex rel. Dave Yost, Ohio Attorney General v. Hebrew Union College-Jewish Institute of Religion</w:t>
      </w:r>
      <w:r>
        <w:t xml:space="preserve">, </w:t>
      </w:r>
      <w:r w:rsidRPr="000615FE">
        <w:t>Case No. A2402430, Hamilton County Common Pleas Court.</w:t>
      </w:r>
      <w:r>
        <w:t xml:space="preserve">  </w:t>
      </w:r>
    </w:p>
  </w:footnote>
  <w:footnote w:id="5">
    <w:p w:rsidR="00F227F6" w:rsidP="00B535FD" w14:paraId="588848E7" w14:textId="515924F2">
      <w:pPr>
        <w:pStyle w:val="FootnoteText"/>
      </w:pPr>
      <w:r>
        <w:rPr>
          <w:rStyle w:val="FootnoteReference"/>
        </w:rPr>
        <w:footnoteRef/>
      </w:r>
      <w:r>
        <w:t xml:space="preserve"> </w:t>
      </w:r>
      <w:r w:rsidRPr="00917FB3" w:rsidR="00917FB3">
        <w:t>Shortly after filing this case Attorney General Dave Yost announced he was resigning effective June 7, 2026, ironically to take a position with the Alliance Defending Freedom, which portrays itself as “The world’s largest legal organization committed to protecting religious freedom.…” Alliance Defending Freedom</w:t>
      </w:r>
      <w:r w:rsidRPr="00917FB3" w:rsidR="00917FB3">
        <w:rPr>
          <w:i/>
          <w:iCs/>
        </w:rPr>
        <w:t xml:space="preserve">, </w:t>
      </w:r>
      <w:r w:rsidRPr="00917FB3" w:rsidR="00917FB3">
        <w:t>https://adflegal.org/about/ (last visited June 11, 2026). D. Andrew Wilson is the new Ohio Attorney General.</w:t>
      </w:r>
    </w:p>
  </w:footnote>
  <w:footnote w:id="6">
    <w:p w:rsidR="00356ED0" w:rsidP="00917FB3" w14:paraId="2A22A906" w14:textId="52324B28">
      <w:pPr>
        <w:pStyle w:val="FootnoteText"/>
        <w:keepLines/>
      </w:pPr>
      <w:r w:rsidRPr="001D113C">
        <w:rPr>
          <w:rStyle w:val="FootnoteReference"/>
        </w:rPr>
        <w:footnoteRef/>
      </w:r>
      <w:r w:rsidRPr="001D113C">
        <w:t xml:space="preserve"> </w:t>
      </w:r>
      <w:r w:rsidRPr="007C09AC">
        <w:t xml:space="preserve">The doctrine is not limited to places of worship; it extends to religious organizations including schools. </w:t>
      </w:r>
      <w:r w:rsidRPr="007C09AC">
        <w:rPr>
          <w:i/>
          <w:iCs/>
        </w:rPr>
        <w:t>See</w:t>
      </w:r>
      <w:r w:rsidRPr="007C09AC">
        <w:t xml:space="preserve"> </w:t>
      </w:r>
      <w:r w:rsidRPr="007C09AC">
        <w:rPr>
          <w:i/>
          <w:iCs/>
        </w:rPr>
        <w:t>Doe</w:t>
      </w:r>
      <w:r w:rsidRPr="007C09AC">
        <w:t>,</w:t>
      </w:r>
      <w:r w:rsidR="008B3291">
        <w:t xml:space="preserve"> </w:t>
      </w:r>
      <w:r w:rsidRPr="00356ED0" w:rsidR="008B3291">
        <w:rPr>
          <w:rFonts w:eastAsia="Times New Roman"/>
          <w:color w:val="000000"/>
        </w:rPr>
        <w:t>2017-Ohio-1172</w:t>
      </w:r>
      <w:r w:rsidR="008B3291">
        <w:rPr>
          <w:rFonts w:eastAsia="Times New Roman"/>
          <w:color w:val="000000"/>
        </w:rPr>
        <w:t>,</w:t>
      </w:r>
      <w:r w:rsidRPr="007C09AC">
        <w:t xml:space="preserve"> at ¶ 9 (10th Dist.) (applying the Ecclesiastical Abstention Doctrine </w:t>
      </w:r>
      <w:r w:rsidRPr="007C09AC" w:rsidR="00E23331">
        <w:t xml:space="preserve">to </w:t>
      </w:r>
      <w:r w:rsidRPr="007C09AC">
        <w:t>a Catholic college training candidates for the priesthood).</w:t>
      </w:r>
    </w:p>
  </w:footnote>
  <w:footnote w:id="7">
    <w:p w:rsidR="00356ED0" w:rsidRPr="0098414B" w:rsidP="00356ED0" w14:paraId="394F079B" w14:textId="6B370E55">
      <w:pPr>
        <w:pStyle w:val="FootnoteText"/>
      </w:pPr>
      <w:r w:rsidRPr="00464583">
        <w:rPr>
          <w:rStyle w:val="FootnoteReference"/>
        </w:rPr>
        <w:footnoteRef/>
      </w:r>
      <w:r w:rsidRPr="00464583">
        <w:t xml:space="preserve"> </w:t>
      </w:r>
      <w:r w:rsidRPr="00426BB1">
        <w:t xml:space="preserve">The United States Supreme Court in </w:t>
      </w:r>
      <w:r w:rsidRPr="00426BB1">
        <w:rPr>
          <w:i/>
          <w:iCs/>
        </w:rPr>
        <w:t>Kennedy v. Bremerton Sch</w:t>
      </w:r>
      <w:r w:rsidR="00352120">
        <w:rPr>
          <w:i/>
          <w:iCs/>
        </w:rPr>
        <w:t>.</w:t>
      </w:r>
      <w:r w:rsidRPr="00426BB1">
        <w:rPr>
          <w:i/>
          <w:iCs/>
        </w:rPr>
        <w:t xml:space="preserve"> Dist.</w:t>
      </w:r>
      <w:r w:rsidRPr="00426BB1">
        <w:t xml:space="preserve">, 597 U.S. 507, 535 (2022), set forth a new “historical practices and understandings” test and overturned </w:t>
      </w:r>
      <w:r w:rsidRPr="00426BB1">
        <w:rPr>
          <w:i/>
          <w:iCs/>
        </w:rPr>
        <w:t>Lemon</w:t>
      </w:r>
      <w:r w:rsidRPr="00426BB1">
        <w:t xml:space="preserve">.  Ohio courts have not adopted the </w:t>
      </w:r>
      <w:r w:rsidRPr="00426BB1">
        <w:rPr>
          <w:i/>
          <w:iCs/>
        </w:rPr>
        <w:t>Kennedy</w:t>
      </w:r>
      <w:r w:rsidRPr="00426BB1">
        <w:t xml:space="preserve"> standard for purposes of the Ohio Constitution’s </w:t>
      </w:r>
      <w:r w:rsidR="00724D25">
        <w:t>E</w:t>
      </w:r>
      <w:r w:rsidRPr="00426BB1">
        <w:t xml:space="preserve">stablishment </w:t>
      </w:r>
      <w:r w:rsidR="00724D25">
        <w:t>C</w:t>
      </w:r>
      <w:r w:rsidRPr="00426BB1">
        <w:t xml:space="preserve">lause. Because Ohio’s Constitution is not coextensive with the federal </w:t>
      </w:r>
      <w:r w:rsidRPr="00426BB1" w:rsidR="005717DC">
        <w:t>Constitu</w:t>
      </w:r>
      <w:r w:rsidR="005717DC">
        <w:t>t</w:t>
      </w:r>
      <w:r w:rsidRPr="00426BB1" w:rsidR="005717DC">
        <w:t>ion</w:t>
      </w:r>
      <w:r w:rsidRPr="00426BB1">
        <w:t xml:space="preserve">, this Court remains bound by Ohio jurisprudence when interpreting Ohio’s </w:t>
      </w:r>
      <w:r w:rsidR="00724D25">
        <w:t>E</w:t>
      </w:r>
      <w:r w:rsidRPr="00426BB1">
        <w:t xml:space="preserve">stablishment </w:t>
      </w:r>
      <w:r w:rsidR="00724D25">
        <w:t>C</w:t>
      </w:r>
      <w:r w:rsidRPr="00426BB1">
        <w:t xml:space="preserve">lause.  </w:t>
      </w:r>
      <w:r w:rsidRPr="00426BB1">
        <w:rPr>
          <w:i/>
          <w:iCs/>
        </w:rPr>
        <w:t>See Simmons-Harris</w:t>
      </w:r>
      <w:r w:rsidRPr="00426BB1">
        <w:t xml:space="preserve">, 86 Ohio St. 3d at 10 (adopting the </w:t>
      </w:r>
      <w:r w:rsidRPr="00426BB1">
        <w:rPr>
          <w:i/>
          <w:iCs/>
        </w:rPr>
        <w:t>Lemon</w:t>
      </w:r>
      <w:r w:rsidRPr="00426BB1">
        <w:t xml:space="preserve"> test “not because it is the federal constitutional standard, but rather because the elements of the </w:t>
      </w:r>
      <w:r w:rsidRPr="00426BB1">
        <w:rPr>
          <w:i/>
          <w:iCs/>
        </w:rPr>
        <w:t>Lemon</w:t>
      </w:r>
      <w:r w:rsidRPr="00426BB1">
        <w:t xml:space="preserve"> test are a logical and reasonable method by which to determine whether a statutory scheme establishes religion.”).</w:t>
      </w:r>
    </w:p>
  </w:footnote>
  <w:footnote w:id="8">
    <w:p w:rsidR="00490A29" w:rsidP="00917FB3" w14:paraId="15D87792" w14:textId="7C91A9BC">
      <w:pPr>
        <w:pStyle w:val="FootnoteText"/>
        <w:keepLines/>
      </w:pPr>
      <w:r>
        <w:rPr>
          <w:rStyle w:val="FootnoteReference"/>
        </w:rPr>
        <w:footnoteRef/>
      </w:r>
      <w:r>
        <w:t xml:space="preserve"> </w:t>
      </w:r>
      <w:r w:rsidRPr="00D40B31">
        <w:t>Something called the College for Contemporary Judaism (“CCJ”) is waiting in the wings to take HUC’s assets</w:t>
      </w:r>
      <w:r w:rsidR="00917FB3">
        <w:t xml:space="preserve">, and </w:t>
      </w:r>
      <w:r w:rsidRPr="00D40B31">
        <w:t>on May 28, 2026</w:t>
      </w:r>
      <w:r w:rsidR="00CD1208">
        <w:t>,</w:t>
      </w:r>
      <w:r w:rsidRPr="00D40B31">
        <w:t xml:space="preserve"> it moved to intervene in this case for that purpose. CCJ exists in name only and has no students, faculty, </w:t>
      </w:r>
      <w:r w:rsidRPr="00D40B31" w:rsidR="00D40B31">
        <w:t xml:space="preserve">curriculum, </w:t>
      </w:r>
      <w:r w:rsidRPr="00D40B31">
        <w:t>accreditations, licenses, or buildings</w:t>
      </w:r>
      <w:r w:rsidRPr="00D40B31" w:rsidR="00D40B31">
        <w:t>-</w:t>
      </w:r>
      <w:r w:rsidR="00605833">
        <w:t>-</w:t>
      </w:r>
      <w:r w:rsidRPr="00D40B31">
        <w:t xml:space="preserve">other than the HUC </w:t>
      </w:r>
      <w:r w:rsidR="00605833">
        <w:t xml:space="preserve">Cincinnati campus </w:t>
      </w:r>
      <w:r w:rsidRPr="00D40B31">
        <w:t>buildings and AI</w:t>
      </w:r>
      <w:r w:rsidR="00917FB3">
        <w:t>-</w:t>
      </w:r>
      <w:r w:rsidRPr="00D40B31">
        <w:t xml:space="preserve">generated images </w:t>
      </w:r>
      <w:r w:rsidRPr="00D40B31" w:rsidR="00D40B31">
        <w:t xml:space="preserve">posted </w:t>
      </w:r>
      <w:r w:rsidRPr="00D40B31">
        <w:t>on its website.</w:t>
      </w:r>
      <w:r>
        <w:t xml:space="preserve"> </w:t>
      </w:r>
      <w:r w:rsidR="00CD3106">
        <w:t xml:space="preserve">HUC is contemporaneously filing with this Motion a </w:t>
      </w:r>
      <w:r w:rsidRPr="00CD3106" w:rsidR="00CD3106">
        <w:t>Motion to Stay consideration of CCJ’s intervention motion</w:t>
      </w:r>
      <w:r w:rsidR="00CD3106">
        <w:t>.</w:t>
      </w:r>
    </w:p>
  </w:footnote>
  <w:footnote w:id="9">
    <w:p w:rsidR="00A4495F" w:rsidRPr="006A420C" w:rsidP="0016302E" w14:paraId="705F5680" w14:textId="670B6E8A">
      <w:pPr>
        <w:pStyle w:val="FootnoteText"/>
      </w:pPr>
      <w:r>
        <w:rPr>
          <w:rStyle w:val="FootnoteReference"/>
        </w:rPr>
        <w:footnoteRef/>
      </w:r>
      <w:r>
        <w:t xml:space="preserve"> </w:t>
      </w:r>
      <w:r w:rsidRPr="006A420C">
        <w:t>This despite having been voluntarily provided with a list of HUC</w:t>
      </w:r>
      <w:r w:rsidR="00524258">
        <w:t>’</w:t>
      </w:r>
      <w:r w:rsidRPr="006A420C">
        <w:t>s gifts containing restrictive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BCD" w14:paraId="39E61C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BCD" w14:paraId="204D7F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BCD" w14:paraId="71A491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A32" w14:paraId="697B35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16BA4"/>
    <w:multiLevelType w:val="hybridMultilevel"/>
    <w:tmpl w:val="87ECD6D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
    <w:nsid w:val="10C46BF5"/>
    <w:multiLevelType w:val="hybridMultilevel"/>
    <w:tmpl w:val="D8C80AE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2B1E554D"/>
    <w:multiLevelType w:val="hybridMultilevel"/>
    <w:tmpl w:val="93E0635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E74A25"/>
    <w:multiLevelType w:val="hybridMultilevel"/>
    <w:tmpl w:val="1E22749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A521AC6"/>
    <w:multiLevelType w:val="hybridMultilevel"/>
    <w:tmpl w:val="9C04D0C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47B64C17"/>
    <w:multiLevelType w:val="hybridMultilevel"/>
    <w:tmpl w:val="76028AC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D3F68"/>
    <w:multiLevelType w:val="multilevel"/>
    <w:tmpl w:val="6754715A"/>
    <w:lvl w:ilvl="0">
      <w:start w:val="1"/>
      <w:numFmt w:val="upperRoman"/>
      <w:pStyle w:val="Heading1"/>
      <w:lvlText w:val="%1."/>
      <w:lvlJc w:val="left"/>
      <w:pPr>
        <w:ind w:left="720" w:hanging="720"/>
      </w:pPr>
    </w:lvl>
    <w:lvl w:ilvl="1">
      <w:start w:val="1"/>
      <w:numFmt w:val="upperLetter"/>
      <w:pStyle w:val="Heading2"/>
      <w:lvlText w:val="%2."/>
      <w:lvlJc w:val="left"/>
      <w:pPr>
        <w:ind w:left="1440" w:hanging="720"/>
      </w:pPr>
    </w:lvl>
    <w:lvl w:ilvl="2">
      <w:start w:val="1"/>
      <w:numFmt w:val="decimal"/>
      <w:pStyle w:val="Heading3"/>
      <w:lvlText w:val="%3."/>
      <w:lvlJc w:val="left"/>
      <w:pPr>
        <w:ind w:left="4050" w:hanging="720"/>
      </w:pPr>
    </w:lvl>
    <w:lvl w:ilvl="3">
      <w:start w:val="1"/>
      <w:numFmt w:val="lowerLetter"/>
      <w:pStyle w:val="Heading4"/>
      <w:lvlText w:val="%4."/>
      <w:lvlJc w:val="left"/>
      <w:pPr>
        <w:ind w:left="2880" w:hanging="720"/>
      </w:pPr>
    </w:lvl>
    <w:lvl w:ilvl="4">
      <w:start w:val="1"/>
      <w:numFmt w:val="lowerRoman"/>
      <w:pStyle w:val="Heading5"/>
      <w:lvlText w:val="%5."/>
      <w:lvlJc w:val="left"/>
      <w:pPr>
        <w:ind w:left="3600" w:hanging="720"/>
      </w:pPr>
    </w:lvl>
    <w:lvl w:ilvl="5">
      <w:start w:val="1"/>
      <w:numFmt w:val="lowerLetter"/>
      <w:pStyle w:val="Heading6"/>
      <w:lvlText w:val="%6)"/>
      <w:lvlJc w:val="left"/>
      <w:pPr>
        <w:ind w:left="4320" w:hanging="720"/>
      </w:pPr>
    </w:lvl>
    <w:lvl w:ilvl="6">
      <w:start w:val="1"/>
      <w:numFmt w:val="lowerRoman"/>
      <w:pStyle w:val="Heading7"/>
      <w:lvlText w:val="%7)"/>
      <w:lvlJc w:val="left"/>
      <w:pPr>
        <w:ind w:left="5040" w:hanging="720"/>
      </w:pPr>
    </w:lvl>
    <w:lvl w:ilvl="7">
      <w:start w:val="1"/>
      <w:numFmt w:val="lowerLetter"/>
      <w:pStyle w:val="Heading8"/>
      <w:lvlText w:val="(%8)"/>
      <w:lvlJc w:val="left"/>
      <w:pPr>
        <w:ind w:left="5760" w:hanging="720"/>
      </w:pPr>
    </w:lvl>
    <w:lvl w:ilvl="8">
      <w:start w:val="1"/>
      <w:numFmt w:val="lowerRoman"/>
      <w:pStyle w:val="Heading9"/>
      <w:lvlText w:val="(%9)"/>
      <w:lvlJc w:val="left"/>
      <w:pPr>
        <w:ind w:left="6480" w:hanging="720"/>
      </w:pPr>
    </w:lvl>
  </w:abstractNum>
  <w:abstractNum w:abstractNumId="7">
    <w:nsid w:val="657F7AD1"/>
    <w:multiLevelType w:val="hybridMultilevel"/>
    <w:tmpl w:val="B06822C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6883612"/>
    <w:multiLevelType w:val="hybridMultilevel"/>
    <w:tmpl w:val="E750837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6669612">
    <w:abstractNumId w:val="2"/>
  </w:num>
  <w:num w:numId="2" w16cid:durableId="1559897485">
    <w:abstractNumId w:val="3"/>
  </w:num>
  <w:num w:numId="3" w16cid:durableId="1466122607">
    <w:abstractNumId w:val="8"/>
  </w:num>
  <w:num w:numId="4" w16cid:durableId="2074086597">
    <w:abstractNumId w:val="7"/>
  </w:num>
  <w:num w:numId="5" w16cid:durableId="978610384">
    <w:abstractNumId w:val="6"/>
  </w:num>
  <w:num w:numId="6" w16cid:durableId="1352757096">
    <w:abstractNumId w:val="5"/>
  </w:num>
  <w:num w:numId="7" w16cid:durableId="171996446">
    <w:abstractNumId w:val="4"/>
  </w:num>
  <w:num w:numId="8" w16cid:durableId="1281565705">
    <w:abstractNumId w:val="1"/>
  </w:num>
  <w:num w:numId="9" w16cid:durableId="187689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BA"/>
    <w:rsid w:val="00000752"/>
    <w:rsid w:val="00001190"/>
    <w:rsid w:val="00003EA6"/>
    <w:rsid w:val="00004F1A"/>
    <w:rsid w:val="00005577"/>
    <w:rsid w:val="00006361"/>
    <w:rsid w:val="00007C5A"/>
    <w:rsid w:val="000154E3"/>
    <w:rsid w:val="00024C38"/>
    <w:rsid w:val="0002558C"/>
    <w:rsid w:val="000260E6"/>
    <w:rsid w:val="000321C6"/>
    <w:rsid w:val="000341B1"/>
    <w:rsid w:val="00036A47"/>
    <w:rsid w:val="00037B85"/>
    <w:rsid w:val="00037C2F"/>
    <w:rsid w:val="00044A4C"/>
    <w:rsid w:val="00044F64"/>
    <w:rsid w:val="000456D9"/>
    <w:rsid w:val="00046752"/>
    <w:rsid w:val="000547D6"/>
    <w:rsid w:val="00057209"/>
    <w:rsid w:val="00060CAF"/>
    <w:rsid w:val="000615FE"/>
    <w:rsid w:val="00062B84"/>
    <w:rsid w:val="00063378"/>
    <w:rsid w:val="00063CB3"/>
    <w:rsid w:val="00063CE8"/>
    <w:rsid w:val="0006456A"/>
    <w:rsid w:val="00064CE2"/>
    <w:rsid w:val="00066A20"/>
    <w:rsid w:val="00067100"/>
    <w:rsid w:val="00070227"/>
    <w:rsid w:val="00091FD3"/>
    <w:rsid w:val="00093AFC"/>
    <w:rsid w:val="0009490D"/>
    <w:rsid w:val="00094D8B"/>
    <w:rsid w:val="00095520"/>
    <w:rsid w:val="000A3B0E"/>
    <w:rsid w:val="000A4530"/>
    <w:rsid w:val="000A4645"/>
    <w:rsid w:val="000B04F3"/>
    <w:rsid w:val="000B1CFE"/>
    <w:rsid w:val="000B260E"/>
    <w:rsid w:val="000B4EB8"/>
    <w:rsid w:val="000B5F86"/>
    <w:rsid w:val="000B6E33"/>
    <w:rsid w:val="000C19F7"/>
    <w:rsid w:val="000D6216"/>
    <w:rsid w:val="000E1FAE"/>
    <w:rsid w:val="000E510D"/>
    <w:rsid w:val="000E61B7"/>
    <w:rsid w:val="000F180D"/>
    <w:rsid w:val="000F2148"/>
    <w:rsid w:val="000F591B"/>
    <w:rsid w:val="000F625E"/>
    <w:rsid w:val="000F631F"/>
    <w:rsid w:val="000F6479"/>
    <w:rsid w:val="000F799D"/>
    <w:rsid w:val="00100856"/>
    <w:rsid w:val="00104A76"/>
    <w:rsid w:val="00112570"/>
    <w:rsid w:val="0011361A"/>
    <w:rsid w:val="00120CE3"/>
    <w:rsid w:val="00122C71"/>
    <w:rsid w:val="00123F86"/>
    <w:rsid w:val="00132C5E"/>
    <w:rsid w:val="00134042"/>
    <w:rsid w:val="0013412F"/>
    <w:rsid w:val="00135BC1"/>
    <w:rsid w:val="00140833"/>
    <w:rsid w:val="00141146"/>
    <w:rsid w:val="00141931"/>
    <w:rsid w:val="001431B2"/>
    <w:rsid w:val="0014322F"/>
    <w:rsid w:val="00143287"/>
    <w:rsid w:val="00144432"/>
    <w:rsid w:val="00144831"/>
    <w:rsid w:val="001456C1"/>
    <w:rsid w:val="00145D93"/>
    <w:rsid w:val="001477D9"/>
    <w:rsid w:val="00147F24"/>
    <w:rsid w:val="00154CD0"/>
    <w:rsid w:val="0015693C"/>
    <w:rsid w:val="00160F6E"/>
    <w:rsid w:val="00162416"/>
    <w:rsid w:val="0016302E"/>
    <w:rsid w:val="001630DE"/>
    <w:rsid w:val="00163EE2"/>
    <w:rsid w:val="001642AA"/>
    <w:rsid w:val="00167019"/>
    <w:rsid w:val="001676D8"/>
    <w:rsid w:val="001703CC"/>
    <w:rsid w:val="001717B4"/>
    <w:rsid w:val="00172C01"/>
    <w:rsid w:val="0017445A"/>
    <w:rsid w:val="001821AF"/>
    <w:rsid w:val="00184AD9"/>
    <w:rsid w:val="00184F9A"/>
    <w:rsid w:val="001863C4"/>
    <w:rsid w:val="00190C83"/>
    <w:rsid w:val="00191420"/>
    <w:rsid w:val="001966ED"/>
    <w:rsid w:val="001972DA"/>
    <w:rsid w:val="00197BC2"/>
    <w:rsid w:val="001A18A7"/>
    <w:rsid w:val="001A5F33"/>
    <w:rsid w:val="001A7F66"/>
    <w:rsid w:val="001B0A89"/>
    <w:rsid w:val="001B50C3"/>
    <w:rsid w:val="001B798A"/>
    <w:rsid w:val="001B7D28"/>
    <w:rsid w:val="001C02DA"/>
    <w:rsid w:val="001D113C"/>
    <w:rsid w:val="001D1476"/>
    <w:rsid w:val="001D2806"/>
    <w:rsid w:val="001D42F7"/>
    <w:rsid w:val="001E1991"/>
    <w:rsid w:val="001E5191"/>
    <w:rsid w:val="001E7F5B"/>
    <w:rsid w:val="001F3336"/>
    <w:rsid w:val="001F37F0"/>
    <w:rsid w:val="001F3E47"/>
    <w:rsid w:val="001F3FB5"/>
    <w:rsid w:val="001F67EF"/>
    <w:rsid w:val="001F7475"/>
    <w:rsid w:val="00201682"/>
    <w:rsid w:val="00203311"/>
    <w:rsid w:val="0020332D"/>
    <w:rsid w:val="002045D5"/>
    <w:rsid w:val="00212905"/>
    <w:rsid w:val="00215F93"/>
    <w:rsid w:val="00217004"/>
    <w:rsid w:val="0022057C"/>
    <w:rsid w:val="00225F48"/>
    <w:rsid w:val="00230436"/>
    <w:rsid w:val="0023559F"/>
    <w:rsid w:val="00236B6D"/>
    <w:rsid w:val="00243127"/>
    <w:rsid w:val="00243C9D"/>
    <w:rsid w:val="00244B4B"/>
    <w:rsid w:val="00246EF1"/>
    <w:rsid w:val="0024715D"/>
    <w:rsid w:val="00250626"/>
    <w:rsid w:val="002512DA"/>
    <w:rsid w:val="00252444"/>
    <w:rsid w:val="00252BC4"/>
    <w:rsid w:val="00255B9A"/>
    <w:rsid w:val="00255F16"/>
    <w:rsid w:val="00256A51"/>
    <w:rsid w:val="00261F05"/>
    <w:rsid w:val="00264014"/>
    <w:rsid w:val="00270C0C"/>
    <w:rsid w:val="00273EC9"/>
    <w:rsid w:val="00274ABE"/>
    <w:rsid w:val="002751F2"/>
    <w:rsid w:val="002912D2"/>
    <w:rsid w:val="00293C7E"/>
    <w:rsid w:val="00293F55"/>
    <w:rsid w:val="00294BD2"/>
    <w:rsid w:val="00294E78"/>
    <w:rsid w:val="002A1291"/>
    <w:rsid w:val="002A1933"/>
    <w:rsid w:val="002A3B3D"/>
    <w:rsid w:val="002A4D27"/>
    <w:rsid w:val="002A5B0C"/>
    <w:rsid w:val="002A71DC"/>
    <w:rsid w:val="002B003F"/>
    <w:rsid w:val="002B31C3"/>
    <w:rsid w:val="002B739D"/>
    <w:rsid w:val="002C03BA"/>
    <w:rsid w:val="002C45F6"/>
    <w:rsid w:val="002C4790"/>
    <w:rsid w:val="002C7562"/>
    <w:rsid w:val="002D1013"/>
    <w:rsid w:val="002D1123"/>
    <w:rsid w:val="002D1AC6"/>
    <w:rsid w:val="002D245D"/>
    <w:rsid w:val="002D28E3"/>
    <w:rsid w:val="002D34EB"/>
    <w:rsid w:val="002D6B4B"/>
    <w:rsid w:val="002D6F90"/>
    <w:rsid w:val="002E39F9"/>
    <w:rsid w:val="002E5595"/>
    <w:rsid w:val="002E5EB1"/>
    <w:rsid w:val="002F337B"/>
    <w:rsid w:val="002F58F6"/>
    <w:rsid w:val="002F7C2A"/>
    <w:rsid w:val="0030415F"/>
    <w:rsid w:val="003051ED"/>
    <w:rsid w:val="00313902"/>
    <w:rsid w:val="00313B60"/>
    <w:rsid w:val="00313E32"/>
    <w:rsid w:val="00317C41"/>
    <w:rsid w:val="00323054"/>
    <w:rsid w:val="00323E10"/>
    <w:rsid w:val="00323E9D"/>
    <w:rsid w:val="00324CD0"/>
    <w:rsid w:val="00326DB3"/>
    <w:rsid w:val="00327E08"/>
    <w:rsid w:val="003300A2"/>
    <w:rsid w:val="00335D5E"/>
    <w:rsid w:val="00335E31"/>
    <w:rsid w:val="00337229"/>
    <w:rsid w:val="00340E40"/>
    <w:rsid w:val="00340F84"/>
    <w:rsid w:val="00341639"/>
    <w:rsid w:val="00341950"/>
    <w:rsid w:val="00345959"/>
    <w:rsid w:val="0035031E"/>
    <w:rsid w:val="00352120"/>
    <w:rsid w:val="003529E7"/>
    <w:rsid w:val="0035524D"/>
    <w:rsid w:val="00355F3B"/>
    <w:rsid w:val="0035629E"/>
    <w:rsid w:val="00356340"/>
    <w:rsid w:val="00356ED0"/>
    <w:rsid w:val="00363D41"/>
    <w:rsid w:val="00367C28"/>
    <w:rsid w:val="00370FF4"/>
    <w:rsid w:val="00374163"/>
    <w:rsid w:val="00374649"/>
    <w:rsid w:val="00376A7A"/>
    <w:rsid w:val="00380386"/>
    <w:rsid w:val="00380D80"/>
    <w:rsid w:val="00381F0B"/>
    <w:rsid w:val="003830AF"/>
    <w:rsid w:val="003901C7"/>
    <w:rsid w:val="00395FC2"/>
    <w:rsid w:val="0039755E"/>
    <w:rsid w:val="003A0DD3"/>
    <w:rsid w:val="003A3E88"/>
    <w:rsid w:val="003A4BFF"/>
    <w:rsid w:val="003A6D59"/>
    <w:rsid w:val="003B2084"/>
    <w:rsid w:val="003C49C4"/>
    <w:rsid w:val="003C5657"/>
    <w:rsid w:val="003D084D"/>
    <w:rsid w:val="003D3A2A"/>
    <w:rsid w:val="003E02A5"/>
    <w:rsid w:val="003E4EA9"/>
    <w:rsid w:val="003E524D"/>
    <w:rsid w:val="003E5E6C"/>
    <w:rsid w:val="003E6F4C"/>
    <w:rsid w:val="003F2A3A"/>
    <w:rsid w:val="003F36E8"/>
    <w:rsid w:val="003F613A"/>
    <w:rsid w:val="003F6371"/>
    <w:rsid w:val="00402431"/>
    <w:rsid w:val="00403A55"/>
    <w:rsid w:val="00403DEC"/>
    <w:rsid w:val="00410C76"/>
    <w:rsid w:val="004132A1"/>
    <w:rsid w:val="004155F3"/>
    <w:rsid w:val="00423CBE"/>
    <w:rsid w:val="00425407"/>
    <w:rsid w:val="00426BB1"/>
    <w:rsid w:val="00433940"/>
    <w:rsid w:val="00433F23"/>
    <w:rsid w:val="00436EB4"/>
    <w:rsid w:val="00437474"/>
    <w:rsid w:val="00437D7E"/>
    <w:rsid w:val="00441053"/>
    <w:rsid w:val="00447139"/>
    <w:rsid w:val="004502EC"/>
    <w:rsid w:val="00451B29"/>
    <w:rsid w:val="00453A86"/>
    <w:rsid w:val="004609F1"/>
    <w:rsid w:val="00464583"/>
    <w:rsid w:val="00464F53"/>
    <w:rsid w:val="00465A66"/>
    <w:rsid w:val="00466621"/>
    <w:rsid w:val="00467C4A"/>
    <w:rsid w:val="0047359E"/>
    <w:rsid w:val="00474D49"/>
    <w:rsid w:val="004753FB"/>
    <w:rsid w:val="004764B1"/>
    <w:rsid w:val="00480063"/>
    <w:rsid w:val="004824DD"/>
    <w:rsid w:val="00482720"/>
    <w:rsid w:val="00483414"/>
    <w:rsid w:val="00490A29"/>
    <w:rsid w:val="00490D2F"/>
    <w:rsid w:val="00491557"/>
    <w:rsid w:val="00494198"/>
    <w:rsid w:val="004945DD"/>
    <w:rsid w:val="00494AEB"/>
    <w:rsid w:val="004A0235"/>
    <w:rsid w:val="004A4040"/>
    <w:rsid w:val="004A43B0"/>
    <w:rsid w:val="004A4FF1"/>
    <w:rsid w:val="004B6082"/>
    <w:rsid w:val="004C1653"/>
    <w:rsid w:val="004C1D9C"/>
    <w:rsid w:val="004C6159"/>
    <w:rsid w:val="004C78DB"/>
    <w:rsid w:val="004C7950"/>
    <w:rsid w:val="004D0549"/>
    <w:rsid w:val="004D0977"/>
    <w:rsid w:val="004D15A7"/>
    <w:rsid w:val="004D2481"/>
    <w:rsid w:val="004D57A8"/>
    <w:rsid w:val="004E2420"/>
    <w:rsid w:val="004E3524"/>
    <w:rsid w:val="004E3D42"/>
    <w:rsid w:val="004E40EE"/>
    <w:rsid w:val="004E4455"/>
    <w:rsid w:val="004E4654"/>
    <w:rsid w:val="004E53DB"/>
    <w:rsid w:val="004E5669"/>
    <w:rsid w:val="004E64A8"/>
    <w:rsid w:val="004F26E6"/>
    <w:rsid w:val="004F6335"/>
    <w:rsid w:val="004F6FE6"/>
    <w:rsid w:val="00502AB6"/>
    <w:rsid w:val="00506D6B"/>
    <w:rsid w:val="00516537"/>
    <w:rsid w:val="0051655A"/>
    <w:rsid w:val="00524258"/>
    <w:rsid w:val="00527FF6"/>
    <w:rsid w:val="0053016F"/>
    <w:rsid w:val="005317F3"/>
    <w:rsid w:val="00533DDF"/>
    <w:rsid w:val="005353CA"/>
    <w:rsid w:val="005414D7"/>
    <w:rsid w:val="00542ED5"/>
    <w:rsid w:val="00550A4E"/>
    <w:rsid w:val="0055250C"/>
    <w:rsid w:val="00561981"/>
    <w:rsid w:val="005622C1"/>
    <w:rsid w:val="0057135A"/>
    <w:rsid w:val="005717DC"/>
    <w:rsid w:val="00571F2A"/>
    <w:rsid w:val="00581FD2"/>
    <w:rsid w:val="0058275A"/>
    <w:rsid w:val="00583E20"/>
    <w:rsid w:val="005858B3"/>
    <w:rsid w:val="00591A15"/>
    <w:rsid w:val="00592EBB"/>
    <w:rsid w:val="00593CC7"/>
    <w:rsid w:val="005A09DD"/>
    <w:rsid w:val="005A282E"/>
    <w:rsid w:val="005A47A6"/>
    <w:rsid w:val="005A6C36"/>
    <w:rsid w:val="005C00B9"/>
    <w:rsid w:val="005C06D8"/>
    <w:rsid w:val="005C15A2"/>
    <w:rsid w:val="005C28B6"/>
    <w:rsid w:val="005C2FF2"/>
    <w:rsid w:val="005C35B5"/>
    <w:rsid w:val="005C3DEF"/>
    <w:rsid w:val="005C70DC"/>
    <w:rsid w:val="005D3F51"/>
    <w:rsid w:val="005D478E"/>
    <w:rsid w:val="005D6098"/>
    <w:rsid w:val="005E3663"/>
    <w:rsid w:val="005E4AA2"/>
    <w:rsid w:val="005F0CD5"/>
    <w:rsid w:val="005F0EBE"/>
    <w:rsid w:val="005F17A8"/>
    <w:rsid w:val="005F1B9F"/>
    <w:rsid w:val="005F39CE"/>
    <w:rsid w:val="005F5209"/>
    <w:rsid w:val="005F59C4"/>
    <w:rsid w:val="005F5BBE"/>
    <w:rsid w:val="005F62BB"/>
    <w:rsid w:val="00600477"/>
    <w:rsid w:val="00605833"/>
    <w:rsid w:val="006142BD"/>
    <w:rsid w:val="00616847"/>
    <w:rsid w:val="0062166D"/>
    <w:rsid w:val="00622264"/>
    <w:rsid w:val="006240E8"/>
    <w:rsid w:val="0063233A"/>
    <w:rsid w:val="00633093"/>
    <w:rsid w:val="0063412A"/>
    <w:rsid w:val="00634D26"/>
    <w:rsid w:val="00641622"/>
    <w:rsid w:val="006416CF"/>
    <w:rsid w:val="00643695"/>
    <w:rsid w:val="006445B0"/>
    <w:rsid w:val="006447C3"/>
    <w:rsid w:val="006478F3"/>
    <w:rsid w:val="00654B8E"/>
    <w:rsid w:val="006555A8"/>
    <w:rsid w:val="00660215"/>
    <w:rsid w:val="006602B7"/>
    <w:rsid w:val="00661D6B"/>
    <w:rsid w:val="006654C3"/>
    <w:rsid w:val="00667879"/>
    <w:rsid w:val="00667D51"/>
    <w:rsid w:val="0067181D"/>
    <w:rsid w:val="00671895"/>
    <w:rsid w:val="006733AF"/>
    <w:rsid w:val="00674E10"/>
    <w:rsid w:val="00676853"/>
    <w:rsid w:val="0067704B"/>
    <w:rsid w:val="00680CEB"/>
    <w:rsid w:val="00683FF4"/>
    <w:rsid w:val="00687282"/>
    <w:rsid w:val="00687EFF"/>
    <w:rsid w:val="00690922"/>
    <w:rsid w:val="0069259E"/>
    <w:rsid w:val="00692DBA"/>
    <w:rsid w:val="00693DDE"/>
    <w:rsid w:val="006948AE"/>
    <w:rsid w:val="0069605C"/>
    <w:rsid w:val="006A420C"/>
    <w:rsid w:val="006A5175"/>
    <w:rsid w:val="006B076E"/>
    <w:rsid w:val="006B3CBF"/>
    <w:rsid w:val="006B6D6E"/>
    <w:rsid w:val="006C189C"/>
    <w:rsid w:val="006C2178"/>
    <w:rsid w:val="006C5DC9"/>
    <w:rsid w:val="006C7236"/>
    <w:rsid w:val="006D19AF"/>
    <w:rsid w:val="006D391F"/>
    <w:rsid w:val="006D5756"/>
    <w:rsid w:val="006D6BC0"/>
    <w:rsid w:val="006E1052"/>
    <w:rsid w:val="006E34E4"/>
    <w:rsid w:val="006E37D9"/>
    <w:rsid w:val="006E44B3"/>
    <w:rsid w:val="006F2845"/>
    <w:rsid w:val="006F2DFD"/>
    <w:rsid w:val="006F5B0D"/>
    <w:rsid w:val="006F6131"/>
    <w:rsid w:val="006F76AB"/>
    <w:rsid w:val="00703013"/>
    <w:rsid w:val="007141EC"/>
    <w:rsid w:val="007166E4"/>
    <w:rsid w:val="00722003"/>
    <w:rsid w:val="00722D9B"/>
    <w:rsid w:val="007236A3"/>
    <w:rsid w:val="00723F3C"/>
    <w:rsid w:val="00724064"/>
    <w:rsid w:val="00724D25"/>
    <w:rsid w:val="00727982"/>
    <w:rsid w:val="00732DC5"/>
    <w:rsid w:val="007336E7"/>
    <w:rsid w:val="007360FD"/>
    <w:rsid w:val="00737E01"/>
    <w:rsid w:val="00745D1A"/>
    <w:rsid w:val="007501F2"/>
    <w:rsid w:val="00754267"/>
    <w:rsid w:val="00755410"/>
    <w:rsid w:val="0075612E"/>
    <w:rsid w:val="0077191D"/>
    <w:rsid w:val="0077244B"/>
    <w:rsid w:val="0077356C"/>
    <w:rsid w:val="00775C34"/>
    <w:rsid w:val="007762B5"/>
    <w:rsid w:val="00781265"/>
    <w:rsid w:val="007822BF"/>
    <w:rsid w:val="0079221C"/>
    <w:rsid w:val="00792331"/>
    <w:rsid w:val="007956E4"/>
    <w:rsid w:val="007A0727"/>
    <w:rsid w:val="007A3180"/>
    <w:rsid w:val="007B0165"/>
    <w:rsid w:val="007B2C2A"/>
    <w:rsid w:val="007B3586"/>
    <w:rsid w:val="007B6669"/>
    <w:rsid w:val="007B7A30"/>
    <w:rsid w:val="007C09AC"/>
    <w:rsid w:val="007C3636"/>
    <w:rsid w:val="007C6296"/>
    <w:rsid w:val="007D5F30"/>
    <w:rsid w:val="007D6FFA"/>
    <w:rsid w:val="007D7C0B"/>
    <w:rsid w:val="007E00D2"/>
    <w:rsid w:val="007E0BA8"/>
    <w:rsid w:val="007E2C83"/>
    <w:rsid w:val="007E5021"/>
    <w:rsid w:val="007E57F2"/>
    <w:rsid w:val="007E59FE"/>
    <w:rsid w:val="007E60E4"/>
    <w:rsid w:val="007E7DD3"/>
    <w:rsid w:val="007F19C8"/>
    <w:rsid w:val="007F26F5"/>
    <w:rsid w:val="007F2F50"/>
    <w:rsid w:val="007F5AC2"/>
    <w:rsid w:val="007F5B28"/>
    <w:rsid w:val="007F749C"/>
    <w:rsid w:val="00802A4D"/>
    <w:rsid w:val="00804016"/>
    <w:rsid w:val="008042EC"/>
    <w:rsid w:val="00806E09"/>
    <w:rsid w:val="008123B8"/>
    <w:rsid w:val="00814C1E"/>
    <w:rsid w:val="00815B59"/>
    <w:rsid w:val="00815D67"/>
    <w:rsid w:val="008202ED"/>
    <w:rsid w:val="00823060"/>
    <w:rsid w:val="00824662"/>
    <w:rsid w:val="00825AEA"/>
    <w:rsid w:val="0082612A"/>
    <w:rsid w:val="00826C62"/>
    <w:rsid w:val="00826D43"/>
    <w:rsid w:val="0083224F"/>
    <w:rsid w:val="00833E90"/>
    <w:rsid w:val="00846B62"/>
    <w:rsid w:val="00853B40"/>
    <w:rsid w:val="00853CE5"/>
    <w:rsid w:val="008547C2"/>
    <w:rsid w:val="008608F7"/>
    <w:rsid w:val="00863310"/>
    <w:rsid w:val="00866489"/>
    <w:rsid w:val="00870D7D"/>
    <w:rsid w:val="0087128B"/>
    <w:rsid w:val="008731BF"/>
    <w:rsid w:val="00873D4F"/>
    <w:rsid w:val="00883D68"/>
    <w:rsid w:val="0088788A"/>
    <w:rsid w:val="00897520"/>
    <w:rsid w:val="008A00FE"/>
    <w:rsid w:val="008A5F03"/>
    <w:rsid w:val="008B08B5"/>
    <w:rsid w:val="008B1B0C"/>
    <w:rsid w:val="008B3291"/>
    <w:rsid w:val="008B40B0"/>
    <w:rsid w:val="008B4FA8"/>
    <w:rsid w:val="008B6D70"/>
    <w:rsid w:val="008C0529"/>
    <w:rsid w:val="008C438B"/>
    <w:rsid w:val="008C542B"/>
    <w:rsid w:val="008D433E"/>
    <w:rsid w:val="008D45EC"/>
    <w:rsid w:val="008D4613"/>
    <w:rsid w:val="008D47EE"/>
    <w:rsid w:val="008D522A"/>
    <w:rsid w:val="008E00C0"/>
    <w:rsid w:val="008E2533"/>
    <w:rsid w:val="008E4CE4"/>
    <w:rsid w:val="008E5B0E"/>
    <w:rsid w:val="008F18DC"/>
    <w:rsid w:val="008F289B"/>
    <w:rsid w:val="008F2ABA"/>
    <w:rsid w:val="008F37D5"/>
    <w:rsid w:val="008F3AF5"/>
    <w:rsid w:val="008F4953"/>
    <w:rsid w:val="008F4DD3"/>
    <w:rsid w:val="0090583D"/>
    <w:rsid w:val="00906023"/>
    <w:rsid w:val="0090606A"/>
    <w:rsid w:val="0091003E"/>
    <w:rsid w:val="009100E4"/>
    <w:rsid w:val="009106C5"/>
    <w:rsid w:val="009123AD"/>
    <w:rsid w:val="00912820"/>
    <w:rsid w:val="00917957"/>
    <w:rsid w:val="00917FB3"/>
    <w:rsid w:val="00920E37"/>
    <w:rsid w:val="00920E84"/>
    <w:rsid w:val="009214DB"/>
    <w:rsid w:val="009231CD"/>
    <w:rsid w:val="00926AB2"/>
    <w:rsid w:val="009277D5"/>
    <w:rsid w:val="00932076"/>
    <w:rsid w:val="0093383F"/>
    <w:rsid w:val="00934590"/>
    <w:rsid w:val="00937DBB"/>
    <w:rsid w:val="00942590"/>
    <w:rsid w:val="00944EE6"/>
    <w:rsid w:val="00947FC7"/>
    <w:rsid w:val="00952BD6"/>
    <w:rsid w:val="00961A8D"/>
    <w:rsid w:val="00964675"/>
    <w:rsid w:val="00965E42"/>
    <w:rsid w:val="00966100"/>
    <w:rsid w:val="0096757F"/>
    <w:rsid w:val="00967F7B"/>
    <w:rsid w:val="009702F8"/>
    <w:rsid w:val="00975696"/>
    <w:rsid w:val="00975C52"/>
    <w:rsid w:val="009768CE"/>
    <w:rsid w:val="00977A56"/>
    <w:rsid w:val="00980BC9"/>
    <w:rsid w:val="0098414B"/>
    <w:rsid w:val="00987078"/>
    <w:rsid w:val="009923DE"/>
    <w:rsid w:val="0099402E"/>
    <w:rsid w:val="0099522C"/>
    <w:rsid w:val="009A14E6"/>
    <w:rsid w:val="009B2185"/>
    <w:rsid w:val="009B5EF8"/>
    <w:rsid w:val="009B6E8B"/>
    <w:rsid w:val="009C04BB"/>
    <w:rsid w:val="009C1EAF"/>
    <w:rsid w:val="009D101D"/>
    <w:rsid w:val="009D6E72"/>
    <w:rsid w:val="009E23DC"/>
    <w:rsid w:val="009E2B51"/>
    <w:rsid w:val="009E7FDA"/>
    <w:rsid w:val="009F1456"/>
    <w:rsid w:val="009F1F15"/>
    <w:rsid w:val="009F373D"/>
    <w:rsid w:val="009F5E7B"/>
    <w:rsid w:val="009F7E24"/>
    <w:rsid w:val="00A013AC"/>
    <w:rsid w:val="00A07004"/>
    <w:rsid w:val="00A104B1"/>
    <w:rsid w:val="00A137DE"/>
    <w:rsid w:val="00A16820"/>
    <w:rsid w:val="00A16A8A"/>
    <w:rsid w:val="00A2223C"/>
    <w:rsid w:val="00A25C34"/>
    <w:rsid w:val="00A278CB"/>
    <w:rsid w:val="00A325B3"/>
    <w:rsid w:val="00A33520"/>
    <w:rsid w:val="00A33EB0"/>
    <w:rsid w:val="00A35CB8"/>
    <w:rsid w:val="00A36380"/>
    <w:rsid w:val="00A4495F"/>
    <w:rsid w:val="00A455F8"/>
    <w:rsid w:val="00A45D26"/>
    <w:rsid w:val="00A45D6D"/>
    <w:rsid w:val="00A463CF"/>
    <w:rsid w:val="00A54182"/>
    <w:rsid w:val="00A5510A"/>
    <w:rsid w:val="00A569FF"/>
    <w:rsid w:val="00A62B58"/>
    <w:rsid w:val="00A63E1A"/>
    <w:rsid w:val="00A64263"/>
    <w:rsid w:val="00A6706B"/>
    <w:rsid w:val="00A7058F"/>
    <w:rsid w:val="00A705E8"/>
    <w:rsid w:val="00A8587B"/>
    <w:rsid w:val="00A90644"/>
    <w:rsid w:val="00A92554"/>
    <w:rsid w:val="00A940A3"/>
    <w:rsid w:val="00A943B5"/>
    <w:rsid w:val="00A94709"/>
    <w:rsid w:val="00A96B4D"/>
    <w:rsid w:val="00A9768D"/>
    <w:rsid w:val="00AA079E"/>
    <w:rsid w:val="00AA2652"/>
    <w:rsid w:val="00AA308E"/>
    <w:rsid w:val="00AA4018"/>
    <w:rsid w:val="00AA58B2"/>
    <w:rsid w:val="00AB1FA0"/>
    <w:rsid w:val="00AB2D12"/>
    <w:rsid w:val="00AB3669"/>
    <w:rsid w:val="00AB5724"/>
    <w:rsid w:val="00AC3E11"/>
    <w:rsid w:val="00AC5842"/>
    <w:rsid w:val="00AD4A9C"/>
    <w:rsid w:val="00AD54EF"/>
    <w:rsid w:val="00AD5551"/>
    <w:rsid w:val="00AD5B3B"/>
    <w:rsid w:val="00AD5B99"/>
    <w:rsid w:val="00AD7DB2"/>
    <w:rsid w:val="00AE39B2"/>
    <w:rsid w:val="00AE45E8"/>
    <w:rsid w:val="00AE4FEC"/>
    <w:rsid w:val="00AE5123"/>
    <w:rsid w:val="00AE76EC"/>
    <w:rsid w:val="00AE7992"/>
    <w:rsid w:val="00AF20BF"/>
    <w:rsid w:val="00AF4DD1"/>
    <w:rsid w:val="00B00AE3"/>
    <w:rsid w:val="00B0236F"/>
    <w:rsid w:val="00B024C5"/>
    <w:rsid w:val="00B033BB"/>
    <w:rsid w:val="00B0667D"/>
    <w:rsid w:val="00B11E49"/>
    <w:rsid w:val="00B14182"/>
    <w:rsid w:val="00B20B53"/>
    <w:rsid w:val="00B22AEC"/>
    <w:rsid w:val="00B26423"/>
    <w:rsid w:val="00B274E1"/>
    <w:rsid w:val="00B31266"/>
    <w:rsid w:val="00B31B43"/>
    <w:rsid w:val="00B3542F"/>
    <w:rsid w:val="00B358CF"/>
    <w:rsid w:val="00B41B20"/>
    <w:rsid w:val="00B42402"/>
    <w:rsid w:val="00B44020"/>
    <w:rsid w:val="00B4521A"/>
    <w:rsid w:val="00B47C50"/>
    <w:rsid w:val="00B514B0"/>
    <w:rsid w:val="00B52346"/>
    <w:rsid w:val="00B52CDE"/>
    <w:rsid w:val="00B535FD"/>
    <w:rsid w:val="00B536D7"/>
    <w:rsid w:val="00B5456E"/>
    <w:rsid w:val="00B62EBD"/>
    <w:rsid w:val="00B635E9"/>
    <w:rsid w:val="00B6474B"/>
    <w:rsid w:val="00B64FDE"/>
    <w:rsid w:val="00B66162"/>
    <w:rsid w:val="00B66386"/>
    <w:rsid w:val="00B67027"/>
    <w:rsid w:val="00B67604"/>
    <w:rsid w:val="00B723D2"/>
    <w:rsid w:val="00B76961"/>
    <w:rsid w:val="00B806F0"/>
    <w:rsid w:val="00B81EC1"/>
    <w:rsid w:val="00B835E8"/>
    <w:rsid w:val="00B8553E"/>
    <w:rsid w:val="00B8588B"/>
    <w:rsid w:val="00B85ADD"/>
    <w:rsid w:val="00B85F9E"/>
    <w:rsid w:val="00B87AB6"/>
    <w:rsid w:val="00B9151E"/>
    <w:rsid w:val="00BA1F4B"/>
    <w:rsid w:val="00BB12E8"/>
    <w:rsid w:val="00BB35B1"/>
    <w:rsid w:val="00BB5E27"/>
    <w:rsid w:val="00BB6F86"/>
    <w:rsid w:val="00BC0200"/>
    <w:rsid w:val="00BC0BE1"/>
    <w:rsid w:val="00BC2EEC"/>
    <w:rsid w:val="00BD0082"/>
    <w:rsid w:val="00BD2C66"/>
    <w:rsid w:val="00BD3107"/>
    <w:rsid w:val="00BD5F27"/>
    <w:rsid w:val="00BE03F3"/>
    <w:rsid w:val="00BE1FD5"/>
    <w:rsid w:val="00BE297E"/>
    <w:rsid w:val="00BE4EDD"/>
    <w:rsid w:val="00BF6A99"/>
    <w:rsid w:val="00BF7B2D"/>
    <w:rsid w:val="00C00206"/>
    <w:rsid w:val="00C02DF3"/>
    <w:rsid w:val="00C1038F"/>
    <w:rsid w:val="00C10B36"/>
    <w:rsid w:val="00C12817"/>
    <w:rsid w:val="00C1395B"/>
    <w:rsid w:val="00C13BC9"/>
    <w:rsid w:val="00C142C4"/>
    <w:rsid w:val="00C143AD"/>
    <w:rsid w:val="00C21BB1"/>
    <w:rsid w:val="00C2528B"/>
    <w:rsid w:val="00C2556E"/>
    <w:rsid w:val="00C2636F"/>
    <w:rsid w:val="00C33288"/>
    <w:rsid w:val="00C33D88"/>
    <w:rsid w:val="00C359DA"/>
    <w:rsid w:val="00C35BCA"/>
    <w:rsid w:val="00C35C3B"/>
    <w:rsid w:val="00C4025D"/>
    <w:rsid w:val="00C411FB"/>
    <w:rsid w:val="00C41777"/>
    <w:rsid w:val="00C43569"/>
    <w:rsid w:val="00C44CD4"/>
    <w:rsid w:val="00C45B5C"/>
    <w:rsid w:val="00C51021"/>
    <w:rsid w:val="00C529CD"/>
    <w:rsid w:val="00C52F78"/>
    <w:rsid w:val="00C53EE4"/>
    <w:rsid w:val="00C5549D"/>
    <w:rsid w:val="00C647F5"/>
    <w:rsid w:val="00C655AB"/>
    <w:rsid w:val="00C6666F"/>
    <w:rsid w:val="00C719BA"/>
    <w:rsid w:val="00C72E6E"/>
    <w:rsid w:val="00C738FC"/>
    <w:rsid w:val="00C7440A"/>
    <w:rsid w:val="00C80111"/>
    <w:rsid w:val="00C86AB9"/>
    <w:rsid w:val="00C87B10"/>
    <w:rsid w:val="00C90AB4"/>
    <w:rsid w:val="00C9697D"/>
    <w:rsid w:val="00C97B84"/>
    <w:rsid w:val="00CA0593"/>
    <w:rsid w:val="00CA10A1"/>
    <w:rsid w:val="00CA162E"/>
    <w:rsid w:val="00CA2058"/>
    <w:rsid w:val="00CA2577"/>
    <w:rsid w:val="00CA3615"/>
    <w:rsid w:val="00CA4B18"/>
    <w:rsid w:val="00CB3F7C"/>
    <w:rsid w:val="00CB4EA7"/>
    <w:rsid w:val="00CB5321"/>
    <w:rsid w:val="00CC14DF"/>
    <w:rsid w:val="00CC1AA7"/>
    <w:rsid w:val="00CC2798"/>
    <w:rsid w:val="00CD1208"/>
    <w:rsid w:val="00CD215A"/>
    <w:rsid w:val="00CD3106"/>
    <w:rsid w:val="00CD4A32"/>
    <w:rsid w:val="00CD4AF1"/>
    <w:rsid w:val="00CE5D86"/>
    <w:rsid w:val="00CE7CFD"/>
    <w:rsid w:val="00CF2001"/>
    <w:rsid w:val="00CF2BE4"/>
    <w:rsid w:val="00CF3263"/>
    <w:rsid w:val="00CF58BA"/>
    <w:rsid w:val="00D00084"/>
    <w:rsid w:val="00D01C6F"/>
    <w:rsid w:val="00D02709"/>
    <w:rsid w:val="00D02A1B"/>
    <w:rsid w:val="00D0507C"/>
    <w:rsid w:val="00D056DF"/>
    <w:rsid w:val="00D07A79"/>
    <w:rsid w:val="00D123B7"/>
    <w:rsid w:val="00D144CA"/>
    <w:rsid w:val="00D150DF"/>
    <w:rsid w:val="00D1721C"/>
    <w:rsid w:val="00D1729D"/>
    <w:rsid w:val="00D2259D"/>
    <w:rsid w:val="00D2276C"/>
    <w:rsid w:val="00D2410D"/>
    <w:rsid w:val="00D3301A"/>
    <w:rsid w:val="00D33444"/>
    <w:rsid w:val="00D34B55"/>
    <w:rsid w:val="00D37500"/>
    <w:rsid w:val="00D378E4"/>
    <w:rsid w:val="00D40279"/>
    <w:rsid w:val="00D40B31"/>
    <w:rsid w:val="00D42FCF"/>
    <w:rsid w:val="00D45217"/>
    <w:rsid w:val="00D47844"/>
    <w:rsid w:val="00D500EF"/>
    <w:rsid w:val="00D5383E"/>
    <w:rsid w:val="00D57406"/>
    <w:rsid w:val="00D60F44"/>
    <w:rsid w:val="00D61570"/>
    <w:rsid w:val="00D637B7"/>
    <w:rsid w:val="00D645D2"/>
    <w:rsid w:val="00D64AF4"/>
    <w:rsid w:val="00D65252"/>
    <w:rsid w:val="00D71BAF"/>
    <w:rsid w:val="00D72554"/>
    <w:rsid w:val="00D749A9"/>
    <w:rsid w:val="00D82836"/>
    <w:rsid w:val="00D85E10"/>
    <w:rsid w:val="00D872C1"/>
    <w:rsid w:val="00D9044C"/>
    <w:rsid w:val="00D90A54"/>
    <w:rsid w:val="00D947D2"/>
    <w:rsid w:val="00D95A0B"/>
    <w:rsid w:val="00DA135D"/>
    <w:rsid w:val="00DA29FD"/>
    <w:rsid w:val="00DA3305"/>
    <w:rsid w:val="00DA33F0"/>
    <w:rsid w:val="00DA4940"/>
    <w:rsid w:val="00DB00F8"/>
    <w:rsid w:val="00DB23F6"/>
    <w:rsid w:val="00DB4F3B"/>
    <w:rsid w:val="00DB52D9"/>
    <w:rsid w:val="00DC03C4"/>
    <w:rsid w:val="00DC3923"/>
    <w:rsid w:val="00DC657F"/>
    <w:rsid w:val="00DD3949"/>
    <w:rsid w:val="00DE40A3"/>
    <w:rsid w:val="00DE765E"/>
    <w:rsid w:val="00DF0634"/>
    <w:rsid w:val="00DF306F"/>
    <w:rsid w:val="00DF35C0"/>
    <w:rsid w:val="00DF4628"/>
    <w:rsid w:val="00DF581F"/>
    <w:rsid w:val="00DF5BE2"/>
    <w:rsid w:val="00DF5E00"/>
    <w:rsid w:val="00DF7DA5"/>
    <w:rsid w:val="00E003AD"/>
    <w:rsid w:val="00E02BE9"/>
    <w:rsid w:val="00E0709D"/>
    <w:rsid w:val="00E12E2E"/>
    <w:rsid w:val="00E166F7"/>
    <w:rsid w:val="00E22520"/>
    <w:rsid w:val="00E22AA1"/>
    <w:rsid w:val="00E22D0F"/>
    <w:rsid w:val="00E23331"/>
    <w:rsid w:val="00E2395F"/>
    <w:rsid w:val="00E24A8A"/>
    <w:rsid w:val="00E266C1"/>
    <w:rsid w:val="00E27781"/>
    <w:rsid w:val="00E27910"/>
    <w:rsid w:val="00E33330"/>
    <w:rsid w:val="00E363D4"/>
    <w:rsid w:val="00E3688B"/>
    <w:rsid w:val="00E36F60"/>
    <w:rsid w:val="00E3797C"/>
    <w:rsid w:val="00E461B9"/>
    <w:rsid w:val="00E47277"/>
    <w:rsid w:val="00E50C29"/>
    <w:rsid w:val="00E53459"/>
    <w:rsid w:val="00E54CE3"/>
    <w:rsid w:val="00E54E8C"/>
    <w:rsid w:val="00E61917"/>
    <w:rsid w:val="00E61EEA"/>
    <w:rsid w:val="00E6553B"/>
    <w:rsid w:val="00E65565"/>
    <w:rsid w:val="00E66B92"/>
    <w:rsid w:val="00E67D46"/>
    <w:rsid w:val="00E7010D"/>
    <w:rsid w:val="00E73B9C"/>
    <w:rsid w:val="00E84A66"/>
    <w:rsid w:val="00E85E03"/>
    <w:rsid w:val="00E92161"/>
    <w:rsid w:val="00E95C78"/>
    <w:rsid w:val="00E95DD2"/>
    <w:rsid w:val="00EA02E3"/>
    <w:rsid w:val="00EA4171"/>
    <w:rsid w:val="00EA4BD1"/>
    <w:rsid w:val="00EA525A"/>
    <w:rsid w:val="00EA5621"/>
    <w:rsid w:val="00EA7017"/>
    <w:rsid w:val="00EB0B02"/>
    <w:rsid w:val="00EB143A"/>
    <w:rsid w:val="00EB1EE4"/>
    <w:rsid w:val="00EB2888"/>
    <w:rsid w:val="00EB39B9"/>
    <w:rsid w:val="00EB4C9B"/>
    <w:rsid w:val="00EB7C89"/>
    <w:rsid w:val="00EC0892"/>
    <w:rsid w:val="00EC3828"/>
    <w:rsid w:val="00EC5DEB"/>
    <w:rsid w:val="00ED1822"/>
    <w:rsid w:val="00ED7AE0"/>
    <w:rsid w:val="00EE08C2"/>
    <w:rsid w:val="00EE2C49"/>
    <w:rsid w:val="00EE4E32"/>
    <w:rsid w:val="00EF06F1"/>
    <w:rsid w:val="00EF5726"/>
    <w:rsid w:val="00EF63B5"/>
    <w:rsid w:val="00F025D2"/>
    <w:rsid w:val="00F0303A"/>
    <w:rsid w:val="00F032A9"/>
    <w:rsid w:val="00F067B2"/>
    <w:rsid w:val="00F06B0D"/>
    <w:rsid w:val="00F06DFA"/>
    <w:rsid w:val="00F06F70"/>
    <w:rsid w:val="00F07661"/>
    <w:rsid w:val="00F20708"/>
    <w:rsid w:val="00F227F6"/>
    <w:rsid w:val="00F23989"/>
    <w:rsid w:val="00F25C63"/>
    <w:rsid w:val="00F27833"/>
    <w:rsid w:val="00F30373"/>
    <w:rsid w:val="00F314D5"/>
    <w:rsid w:val="00F34174"/>
    <w:rsid w:val="00F34A94"/>
    <w:rsid w:val="00F34C7A"/>
    <w:rsid w:val="00F359BA"/>
    <w:rsid w:val="00F36C57"/>
    <w:rsid w:val="00F3734F"/>
    <w:rsid w:val="00F40060"/>
    <w:rsid w:val="00F43BCD"/>
    <w:rsid w:val="00F44101"/>
    <w:rsid w:val="00F4684A"/>
    <w:rsid w:val="00F474AF"/>
    <w:rsid w:val="00F52F9D"/>
    <w:rsid w:val="00F53126"/>
    <w:rsid w:val="00F55B97"/>
    <w:rsid w:val="00F6192C"/>
    <w:rsid w:val="00F63AE1"/>
    <w:rsid w:val="00F65C0C"/>
    <w:rsid w:val="00F65DE4"/>
    <w:rsid w:val="00F67CEC"/>
    <w:rsid w:val="00F702CD"/>
    <w:rsid w:val="00F70A6E"/>
    <w:rsid w:val="00F72AF3"/>
    <w:rsid w:val="00F74B75"/>
    <w:rsid w:val="00F74D35"/>
    <w:rsid w:val="00F767A4"/>
    <w:rsid w:val="00F808B2"/>
    <w:rsid w:val="00F834A7"/>
    <w:rsid w:val="00F85EE2"/>
    <w:rsid w:val="00F87FED"/>
    <w:rsid w:val="00F94730"/>
    <w:rsid w:val="00F94D76"/>
    <w:rsid w:val="00F96009"/>
    <w:rsid w:val="00F96225"/>
    <w:rsid w:val="00FA04F5"/>
    <w:rsid w:val="00FA1B42"/>
    <w:rsid w:val="00FA730B"/>
    <w:rsid w:val="00FB0BA4"/>
    <w:rsid w:val="00FB0E48"/>
    <w:rsid w:val="00FB154E"/>
    <w:rsid w:val="00FB3453"/>
    <w:rsid w:val="00FB59DE"/>
    <w:rsid w:val="00FB60C9"/>
    <w:rsid w:val="00FB66BA"/>
    <w:rsid w:val="00FB6A5A"/>
    <w:rsid w:val="00FB7B6A"/>
    <w:rsid w:val="00FC60AD"/>
    <w:rsid w:val="00FD18EA"/>
    <w:rsid w:val="00FD32ED"/>
    <w:rsid w:val="00FD3AB1"/>
    <w:rsid w:val="00FD4045"/>
    <w:rsid w:val="00FD7631"/>
    <w:rsid w:val="00FE00F2"/>
    <w:rsid w:val="00FE11FF"/>
    <w:rsid w:val="00FE2DAA"/>
    <w:rsid w:val="00FE5300"/>
    <w:rsid w:val="00FE63DB"/>
    <w:rsid w:val="00FE7ACB"/>
    <w:rsid w:val="00FF1D7A"/>
    <w:rsid w:val="00FF53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2523A"/>
  <w15:chartTrackingRefBased/>
  <w15:docId w15:val="{F4CAC35D-94F1-4526-B101-31551659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lsdException w:name="Subtle Reference" w:semiHidden="1" w:uiPriority="31" w:unhideWhenUsed="1" w:qFormat="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123"/>
    <w:pPr>
      <w:spacing w:after="240" w:line="240" w:lineRule="auto"/>
      <w:jc w:val="both"/>
    </w:pPr>
    <w:rPr>
      <w:rFonts w:ascii="Times New Roman" w:eastAsia="Aptos" w:hAnsi="Times New Roman" w:cs="Times New Roman"/>
      <w:kern w:val="0"/>
      <w:sz w:val="24"/>
      <w:szCs w:val="24"/>
      <w14:ligatures w14:val="none"/>
    </w:rPr>
  </w:style>
  <w:style w:type="paragraph" w:styleId="Heading1">
    <w:name w:val="heading 1"/>
    <w:link w:val="Heading1Char"/>
    <w:qFormat/>
    <w:rsid w:val="00AE5123"/>
    <w:pPr>
      <w:keepNext/>
      <w:numPr>
        <w:numId w:val="5"/>
      </w:numPr>
      <w:spacing w:after="240" w:line="240" w:lineRule="auto"/>
      <w:jc w:val="both"/>
      <w:outlineLvl w:val="0"/>
    </w:pPr>
    <w:rPr>
      <w:rFonts w:ascii="Times New Roman" w:eastAsia="Aptos" w:hAnsi="Aptos" w:cs="Times New Roman"/>
      <w:b/>
      <w:kern w:val="0"/>
      <w:sz w:val="24"/>
      <w:szCs w:val="24"/>
      <w14:ligatures w14:val="none"/>
    </w:rPr>
  </w:style>
  <w:style w:type="paragraph" w:styleId="Heading2">
    <w:name w:val="heading 2"/>
    <w:link w:val="Heading2Char"/>
    <w:qFormat/>
    <w:rsid w:val="00AE5123"/>
    <w:pPr>
      <w:keepNext/>
      <w:numPr>
        <w:ilvl w:val="1"/>
        <w:numId w:val="5"/>
      </w:numPr>
      <w:spacing w:after="240" w:line="240" w:lineRule="auto"/>
      <w:jc w:val="both"/>
      <w:outlineLvl w:val="1"/>
    </w:pPr>
    <w:rPr>
      <w:rFonts w:ascii="Times New Roman" w:eastAsia="Aptos" w:hAnsi="Aptos" w:cs="Times New Roman"/>
      <w:b/>
      <w:kern w:val="0"/>
      <w:sz w:val="24"/>
      <w:szCs w:val="24"/>
      <w14:ligatures w14:val="none"/>
    </w:rPr>
  </w:style>
  <w:style w:type="paragraph" w:styleId="Heading3">
    <w:name w:val="heading 3"/>
    <w:link w:val="Heading3Char"/>
    <w:qFormat/>
    <w:rsid w:val="007C6296"/>
    <w:pPr>
      <w:keepNext/>
      <w:numPr>
        <w:ilvl w:val="2"/>
        <w:numId w:val="5"/>
      </w:numPr>
      <w:spacing w:after="240" w:line="240" w:lineRule="auto"/>
      <w:ind w:left="2160"/>
      <w:jc w:val="both"/>
      <w:outlineLvl w:val="2"/>
    </w:pPr>
    <w:rPr>
      <w:rFonts w:ascii="Times New Roman" w:eastAsia="Aptos" w:hAnsi="Aptos" w:cs="Times New Roman"/>
      <w:b/>
      <w:i/>
      <w:kern w:val="0"/>
      <w:sz w:val="24"/>
      <w:szCs w:val="24"/>
      <w14:ligatures w14:val="none"/>
    </w:rPr>
  </w:style>
  <w:style w:type="paragraph" w:styleId="Heading4">
    <w:name w:val="heading 4"/>
    <w:link w:val="Heading4Char"/>
    <w:qFormat/>
    <w:rsid w:val="00AE5123"/>
    <w:pPr>
      <w:keepNext/>
      <w:numPr>
        <w:ilvl w:val="3"/>
        <w:numId w:val="5"/>
      </w:numPr>
      <w:spacing w:after="240" w:line="240" w:lineRule="auto"/>
      <w:jc w:val="both"/>
      <w:outlineLvl w:val="3"/>
    </w:pPr>
    <w:rPr>
      <w:rFonts w:ascii="Times New Roman" w:eastAsia="Aptos" w:hAnsi="Aptos" w:cs="Times New Roman"/>
      <w:kern w:val="0"/>
      <w:sz w:val="24"/>
      <w:szCs w:val="24"/>
      <w14:ligatures w14:val="none"/>
    </w:rPr>
  </w:style>
  <w:style w:type="paragraph" w:styleId="Heading5">
    <w:name w:val="heading 5"/>
    <w:link w:val="Heading5Char"/>
    <w:qFormat/>
    <w:rsid w:val="00AE5123"/>
    <w:pPr>
      <w:keepNext/>
      <w:numPr>
        <w:ilvl w:val="4"/>
        <w:numId w:val="5"/>
      </w:numPr>
      <w:spacing w:after="240" w:line="240" w:lineRule="auto"/>
      <w:jc w:val="both"/>
      <w:outlineLvl w:val="4"/>
    </w:pPr>
    <w:rPr>
      <w:rFonts w:ascii="Times New Roman" w:eastAsia="Aptos" w:hAnsi="Aptos" w:cs="Times New Roman"/>
      <w:kern w:val="0"/>
      <w:sz w:val="24"/>
      <w:szCs w:val="24"/>
      <w14:ligatures w14:val="none"/>
    </w:rPr>
  </w:style>
  <w:style w:type="paragraph" w:styleId="Heading6">
    <w:name w:val="heading 6"/>
    <w:link w:val="Heading6Char"/>
    <w:qFormat/>
    <w:rsid w:val="00AE5123"/>
    <w:pPr>
      <w:keepNext/>
      <w:numPr>
        <w:ilvl w:val="5"/>
        <w:numId w:val="5"/>
      </w:numPr>
      <w:spacing w:after="240" w:line="240" w:lineRule="auto"/>
      <w:jc w:val="both"/>
      <w:outlineLvl w:val="5"/>
    </w:pPr>
    <w:rPr>
      <w:rFonts w:ascii="Times New Roman" w:eastAsia="Aptos" w:hAnsi="Aptos" w:cs="Times New Roman"/>
      <w:kern w:val="0"/>
      <w:sz w:val="24"/>
      <w:szCs w:val="24"/>
      <w14:ligatures w14:val="none"/>
    </w:rPr>
  </w:style>
  <w:style w:type="paragraph" w:styleId="Heading7">
    <w:name w:val="heading 7"/>
    <w:link w:val="Heading7Char"/>
    <w:qFormat/>
    <w:rsid w:val="00AE5123"/>
    <w:pPr>
      <w:keepNext/>
      <w:numPr>
        <w:ilvl w:val="6"/>
        <w:numId w:val="5"/>
      </w:numPr>
      <w:spacing w:after="240" w:line="240" w:lineRule="auto"/>
      <w:jc w:val="both"/>
      <w:outlineLvl w:val="6"/>
    </w:pPr>
    <w:rPr>
      <w:rFonts w:ascii="Times New Roman" w:eastAsia="Aptos" w:hAnsi="Aptos" w:cs="Times New Roman"/>
      <w:kern w:val="0"/>
      <w:sz w:val="24"/>
      <w:szCs w:val="24"/>
      <w14:ligatures w14:val="none"/>
    </w:rPr>
  </w:style>
  <w:style w:type="paragraph" w:styleId="Heading8">
    <w:name w:val="heading 8"/>
    <w:link w:val="Heading8Char"/>
    <w:qFormat/>
    <w:rsid w:val="00AE5123"/>
    <w:pPr>
      <w:keepNext/>
      <w:numPr>
        <w:ilvl w:val="7"/>
        <w:numId w:val="5"/>
      </w:numPr>
      <w:spacing w:after="240" w:line="240" w:lineRule="auto"/>
      <w:jc w:val="both"/>
      <w:outlineLvl w:val="7"/>
    </w:pPr>
    <w:rPr>
      <w:rFonts w:ascii="Times New Roman" w:eastAsia="Aptos" w:hAnsi="Aptos" w:cs="Times New Roman"/>
      <w:kern w:val="0"/>
      <w:sz w:val="24"/>
      <w:szCs w:val="24"/>
      <w14:ligatures w14:val="none"/>
    </w:rPr>
  </w:style>
  <w:style w:type="paragraph" w:styleId="Heading9">
    <w:name w:val="heading 9"/>
    <w:link w:val="Heading9Char"/>
    <w:qFormat/>
    <w:rsid w:val="00AE5123"/>
    <w:pPr>
      <w:keepNext/>
      <w:numPr>
        <w:ilvl w:val="8"/>
        <w:numId w:val="5"/>
      </w:numPr>
      <w:spacing w:after="240" w:line="240" w:lineRule="auto"/>
      <w:jc w:val="both"/>
      <w:outlineLvl w:val="8"/>
    </w:pPr>
    <w:rPr>
      <w:rFonts w:ascii="Times New Roman" w:eastAsia="Aptos" w:hAnsi="Apto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F07661"/>
  </w:style>
  <w:style w:type="paragraph" w:styleId="BlockText">
    <w:name w:val="Block Text"/>
    <w:basedOn w:val="Normal"/>
    <w:uiPriority w:val="99"/>
    <w:semiHidden/>
    <w:unhideWhenUsed/>
    <w:rsid w:val="00F07661"/>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eastAsiaTheme="minorEastAsia"/>
      <w:i/>
      <w:iCs/>
      <w:color w:val="156082" w:themeColor="accent1"/>
    </w:rPr>
  </w:style>
  <w:style w:type="paragraph" w:styleId="BodyText">
    <w:name w:val="Body Text"/>
    <w:basedOn w:val="Normal"/>
    <w:link w:val="BodyTextChar"/>
    <w:uiPriority w:val="1"/>
    <w:qFormat/>
    <w:rsid w:val="005A6C36"/>
    <w:pPr>
      <w:spacing w:after="0" w:line="480" w:lineRule="auto"/>
      <w:ind w:firstLine="720"/>
    </w:pPr>
  </w:style>
  <w:style w:type="character" w:customStyle="1" w:styleId="BodyTextChar">
    <w:name w:val="Body Text Char"/>
    <w:basedOn w:val="DefaultParagraphFont"/>
    <w:link w:val="BodyText"/>
    <w:uiPriority w:val="1"/>
    <w:rsid w:val="005A6C36"/>
    <w:rPr>
      <w:rFonts w:ascii="Times New Roman" w:eastAsia="Aptos" w:hAnsi="Times New Roman" w:cs="Times New Roman"/>
      <w:kern w:val="0"/>
      <w:sz w:val="24"/>
      <w:szCs w:val="24"/>
      <w14:ligatures w14:val="none"/>
    </w:rPr>
  </w:style>
  <w:style w:type="paragraph" w:styleId="BodyText2">
    <w:name w:val="Body Text 2"/>
    <w:basedOn w:val="Normal"/>
    <w:link w:val="BodyText2Char"/>
    <w:uiPriority w:val="1"/>
    <w:unhideWhenUsed/>
    <w:rsid w:val="00F07661"/>
    <w:pPr>
      <w:ind w:firstLine="720"/>
    </w:pPr>
  </w:style>
  <w:style w:type="character" w:customStyle="1" w:styleId="BodyText2Char">
    <w:name w:val="Body Text 2 Char"/>
    <w:basedOn w:val="DefaultParagraphFont"/>
    <w:link w:val="BodyText2"/>
    <w:uiPriority w:val="1"/>
    <w:rsid w:val="00DF7DA5"/>
    <w:rPr>
      <w:rFonts w:ascii="Times New Roman" w:hAnsi="Times New Roman"/>
      <w:sz w:val="24"/>
      <w:szCs w:val="24"/>
    </w:rPr>
  </w:style>
  <w:style w:type="paragraph" w:styleId="BodyText3">
    <w:name w:val="Body Text 3"/>
    <w:basedOn w:val="Normal"/>
    <w:link w:val="BodyText3Char"/>
    <w:uiPriority w:val="1"/>
    <w:unhideWhenUsed/>
    <w:rsid w:val="00F07661"/>
    <w:pPr>
      <w:ind w:firstLine="1440"/>
    </w:pPr>
    <w:rPr>
      <w:szCs w:val="16"/>
    </w:rPr>
  </w:style>
  <w:style w:type="character" w:customStyle="1" w:styleId="BodyText3Char">
    <w:name w:val="Body Text 3 Char"/>
    <w:basedOn w:val="DefaultParagraphFont"/>
    <w:link w:val="BodyText3"/>
    <w:uiPriority w:val="1"/>
    <w:rsid w:val="00DF7DA5"/>
    <w:rPr>
      <w:rFonts w:ascii="Times New Roman" w:hAnsi="Times New Roman"/>
      <w:sz w:val="24"/>
      <w:szCs w:val="16"/>
    </w:rPr>
  </w:style>
  <w:style w:type="paragraph" w:styleId="BodyTextFirstIndent">
    <w:name w:val="Body Text First Indent"/>
    <w:basedOn w:val="BodyText"/>
    <w:link w:val="BodyTextFirstIndentChar"/>
    <w:uiPriority w:val="1"/>
    <w:qFormat/>
    <w:rsid w:val="00F07661"/>
  </w:style>
  <w:style w:type="character" w:customStyle="1" w:styleId="BodyTextFirstIndentChar">
    <w:name w:val="Body Text First Indent Char"/>
    <w:basedOn w:val="BodyTextChar"/>
    <w:link w:val="BodyTextFirstIndent"/>
    <w:uiPriority w:val="1"/>
    <w:rsid w:val="00DA33F0"/>
    <w:rPr>
      <w:rFonts w:ascii="Times New Roman" w:eastAsia="Aptos" w:hAnsi="Times New Roman" w:cs="Times New Roman"/>
      <w:kern w:val="0"/>
      <w:sz w:val="24"/>
      <w:szCs w:val="24"/>
      <w14:ligatures w14:val="none"/>
    </w:rPr>
  </w:style>
  <w:style w:type="paragraph" w:styleId="BodyTextIndent">
    <w:name w:val="Body Text Indent"/>
    <w:basedOn w:val="Normal"/>
    <w:link w:val="BodyTextIndentChar"/>
    <w:uiPriority w:val="1"/>
    <w:qFormat/>
    <w:rsid w:val="00F07661"/>
    <w:pPr>
      <w:ind w:left="720"/>
    </w:pPr>
  </w:style>
  <w:style w:type="character" w:customStyle="1" w:styleId="BodyTextIndentChar">
    <w:name w:val="Body Text Indent Char"/>
    <w:basedOn w:val="DefaultParagraphFont"/>
    <w:link w:val="BodyTextIndent"/>
    <w:uiPriority w:val="1"/>
    <w:rsid w:val="000154E3"/>
    <w:rPr>
      <w:rFonts w:ascii="Times New Roman" w:hAnsi="Times New Roman"/>
      <w:sz w:val="24"/>
      <w:szCs w:val="24"/>
    </w:rPr>
  </w:style>
  <w:style w:type="paragraph" w:styleId="BodyTextFirstIndent2">
    <w:name w:val="Body Text First Indent 2"/>
    <w:basedOn w:val="BodyTextIndent"/>
    <w:link w:val="BodyTextFirstIndent2Char"/>
    <w:uiPriority w:val="1"/>
    <w:unhideWhenUsed/>
    <w:rsid w:val="00F07661"/>
    <w:pPr>
      <w:ind w:left="0" w:firstLine="1440"/>
    </w:pPr>
  </w:style>
  <w:style w:type="character" w:customStyle="1" w:styleId="BodyTextFirstIndent2Char">
    <w:name w:val="Body Text First Indent 2 Char"/>
    <w:basedOn w:val="BodyTextIndentChar"/>
    <w:link w:val="BodyTextFirstIndent2"/>
    <w:uiPriority w:val="1"/>
    <w:rsid w:val="0047359E"/>
    <w:rPr>
      <w:rFonts w:ascii="Times New Roman" w:hAnsi="Times New Roman"/>
      <w:sz w:val="24"/>
      <w:szCs w:val="24"/>
    </w:rPr>
  </w:style>
  <w:style w:type="paragraph" w:styleId="BodyTextIndent2">
    <w:name w:val="Body Text Indent 2"/>
    <w:basedOn w:val="Normal"/>
    <w:link w:val="BodyTextIndent2Char"/>
    <w:uiPriority w:val="1"/>
    <w:unhideWhenUsed/>
    <w:rsid w:val="00F07661"/>
    <w:pPr>
      <w:ind w:left="1440"/>
    </w:pPr>
  </w:style>
  <w:style w:type="character" w:customStyle="1" w:styleId="BodyTextIndent2Char">
    <w:name w:val="Body Text Indent 2 Char"/>
    <w:basedOn w:val="DefaultParagraphFont"/>
    <w:link w:val="BodyTextIndent2"/>
    <w:uiPriority w:val="1"/>
    <w:rsid w:val="00DF7DA5"/>
    <w:rPr>
      <w:rFonts w:ascii="Times New Roman" w:hAnsi="Times New Roman"/>
      <w:sz w:val="24"/>
      <w:szCs w:val="24"/>
    </w:rPr>
  </w:style>
  <w:style w:type="paragraph" w:styleId="BodyTextIndent3">
    <w:name w:val="Body Text Indent 3"/>
    <w:basedOn w:val="Normal"/>
    <w:link w:val="BodyTextIndent3Char"/>
    <w:uiPriority w:val="1"/>
    <w:unhideWhenUsed/>
    <w:rsid w:val="00F07661"/>
    <w:pPr>
      <w:ind w:left="2160"/>
    </w:pPr>
    <w:rPr>
      <w:szCs w:val="16"/>
    </w:rPr>
  </w:style>
  <w:style w:type="character" w:customStyle="1" w:styleId="BodyTextIndent3Char">
    <w:name w:val="Body Text Indent 3 Char"/>
    <w:basedOn w:val="DefaultParagraphFont"/>
    <w:link w:val="BodyTextIndent3"/>
    <w:uiPriority w:val="1"/>
    <w:rsid w:val="0047359E"/>
    <w:rPr>
      <w:rFonts w:ascii="Times New Roman" w:hAnsi="Times New Roman"/>
      <w:sz w:val="24"/>
      <w:szCs w:val="16"/>
    </w:rPr>
  </w:style>
  <w:style w:type="paragraph" w:customStyle="1" w:styleId="CenteredHeading">
    <w:name w:val="Centered Heading"/>
    <w:basedOn w:val="Normal"/>
    <w:uiPriority w:val="2"/>
    <w:qFormat/>
    <w:rsid w:val="00F07661"/>
    <w:pPr>
      <w:keepNext/>
      <w:jc w:val="center"/>
    </w:pPr>
    <w:rPr>
      <w:b/>
    </w:rPr>
  </w:style>
  <w:style w:type="paragraph" w:styleId="Closing">
    <w:name w:val="Closing"/>
    <w:basedOn w:val="Normal"/>
    <w:link w:val="ClosingChar"/>
    <w:uiPriority w:val="99"/>
    <w:semiHidden/>
    <w:unhideWhenUsed/>
    <w:rsid w:val="00F07661"/>
    <w:pPr>
      <w:spacing w:after="0"/>
      <w:ind w:left="4680"/>
    </w:pPr>
  </w:style>
  <w:style w:type="character" w:customStyle="1" w:styleId="ClosingChar">
    <w:name w:val="Closing Char"/>
    <w:basedOn w:val="DefaultParagraphFont"/>
    <w:link w:val="Closing"/>
    <w:uiPriority w:val="99"/>
    <w:semiHidden/>
    <w:rsid w:val="00F07661"/>
    <w:rPr>
      <w:rFonts w:ascii="Times New Roman" w:hAnsi="Times New Roman"/>
      <w:sz w:val="24"/>
      <w:szCs w:val="24"/>
    </w:rPr>
  </w:style>
  <w:style w:type="paragraph" w:styleId="CommentText">
    <w:name w:val="annotation text"/>
    <w:basedOn w:val="Normal"/>
    <w:link w:val="CommentTextChar"/>
    <w:uiPriority w:val="99"/>
    <w:unhideWhenUsed/>
    <w:rsid w:val="00F07661"/>
    <w:rPr>
      <w:sz w:val="20"/>
      <w:szCs w:val="20"/>
    </w:rPr>
  </w:style>
  <w:style w:type="character" w:customStyle="1" w:styleId="CommentTextChar">
    <w:name w:val="Comment Text Char"/>
    <w:basedOn w:val="DefaultParagraphFont"/>
    <w:link w:val="CommentText"/>
    <w:uiPriority w:val="99"/>
    <w:rsid w:val="00F07661"/>
    <w:rPr>
      <w:rFonts w:ascii="Times New Roman" w:hAnsi="Times New Roman"/>
      <w:sz w:val="20"/>
      <w:szCs w:val="20"/>
    </w:rPr>
  </w:style>
  <w:style w:type="character" w:customStyle="1" w:styleId="DocID">
    <w:name w:val="DocID"/>
    <w:basedOn w:val="DefaultParagraphFont"/>
    <w:uiPriority w:val="99"/>
    <w:semiHidden/>
    <w:qFormat/>
    <w:rsid w:val="00F07661"/>
    <w:rPr>
      <w:rFonts w:ascii="Arial" w:hAnsi="Arial"/>
      <w:sz w:val="16"/>
    </w:rPr>
  </w:style>
  <w:style w:type="paragraph" w:styleId="E-mailSignature">
    <w:name w:val="E-mail Signature"/>
    <w:basedOn w:val="Normal"/>
    <w:link w:val="E-mailSignatureChar"/>
    <w:uiPriority w:val="99"/>
    <w:unhideWhenUsed/>
    <w:rsid w:val="00F07661"/>
    <w:pPr>
      <w:spacing w:after="0"/>
    </w:pPr>
  </w:style>
  <w:style w:type="character" w:customStyle="1" w:styleId="E-mailSignatureChar">
    <w:name w:val="E-mail Signature Char"/>
    <w:basedOn w:val="DefaultParagraphFont"/>
    <w:link w:val="E-mailSignature"/>
    <w:uiPriority w:val="99"/>
    <w:rsid w:val="00542ED5"/>
    <w:rPr>
      <w:rFonts w:ascii="Times New Roman" w:hAnsi="Times New Roman"/>
      <w:sz w:val="24"/>
      <w:szCs w:val="24"/>
    </w:rPr>
  </w:style>
  <w:style w:type="paragraph" w:styleId="EnvelopeAddress">
    <w:name w:val="envelope address"/>
    <w:basedOn w:val="Normal"/>
    <w:uiPriority w:val="99"/>
    <w:semiHidden/>
    <w:unhideWhenUsed/>
    <w:rsid w:val="00F07661"/>
    <w:pPr>
      <w:framePr w:w="7920" w:h="1980" w:hRule="exact" w:hSpace="180" w:wrap="auto" w:hAnchor="page" w:xAlign="center" w:yAlign="bottom"/>
      <w:spacing w:after="0"/>
      <w:ind w:left="2880"/>
      <w:jc w:val="left"/>
    </w:pPr>
    <w:rPr>
      <w:rFonts w:eastAsiaTheme="majorEastAsia" w:cstheme="majorBidi"/>
    </w:rPr>
  </w:style>
  <w:style w:type="paragraph" w:styleId="EnvelopeReturn">
    <w:name w:val="envelope return"/>
    <w:basedOn w:val="Normal"/>
    <w:uiPriority w:val="99"/>
    <w:semiHidden/>
    <w:unhideWhenUsed/>
    <w:rsid w:val="00F07661"/>
    <w:pPr>
      <w:spacing w:after="0"/>
    </w:pPr>
    <w:rPr>
      <w:rFonts w:eastAsiaTheme="majorEastAsia" w:cstheme="majorBidi"/>
      <w:sz w:val="20"/>
      <w:szCs w:val="20"/>
    </w:rPr>
  </w:style>
  <w:style w:type="character" w:customStyle="1" w:styleId="Heading1Char">
    <w:name w:val="Heading 1 Char"/>
    <w:basedOn w:val="DefaultParagraphFont"/>
    <w:link w:val="Heading1"/>
    <w:rsid w:val="00AE5123"/>
    <w:rPr>
      <w:rFonts w:ascii="Times New Roman" w:eastAsia="Aptos" w:hAnsi="Aptos" w:cs="Times New Roman"/>
      <w:b/>
      <w:kern w:val="0"/>
      <w:sz w:val="24"/>
      <w:szCs w:val="24"/>
      <w14:ligatures w14:val="none"/>
    </w:rPr>
  </w:style>
  <w:style w:type="paragraph" w:customStyle="1" w:styleId="Exhibit1">
    <w:name w:val="Exhibit 1"/>
    <w:basedOn w:val="Heading1"/>
    <w:next w:val="Normal"/>
    <w:link w:val="Exhibit1Char"/>
    <w:uiPriority w:val="99"/>
    <w:unhideWhenUsed/>
    <w:rsid w:val="00F07661"/>
    <w:rPr>
      <w:bCs/>
      <w:szCs w:val="28"/>
    </w:rPr>
  </w:style>
  <w:style w:type="character" w:customStyle="1" w:styleId="Exhibit1Char">
    <w:name w:val="Exhibit 1 Char"/>
    <w:basedOn w:val="Heading1Char"/>
    <w:link w:val="Exhibit1"/>
    <w:uiPriority w:val="99"/>
    <w:rsid w:val="00B514B0"/>
    <w:rPr>
      <w:rFonts w:ascii="Times New Roman" w:hAnsi="Times New Roman" w:eastAsiaTheme="majorEastAsia" w:cstheme="majorBidi"/>
      <w:b/>
      <w:bCs/>
      <w:kern w:val="0"/>
      <w:sz w:val="24"/>
      <w:szCs w:val="28"/>
      <w14:ligatures w14:val="none"/>
    </w:rPr>
  </w:style>
  <w:style w:type="character" w:customStyle="1" w:styleId="Heading2Char">
    <w:name w:val="Heading 2 Char"/>
    <w:basedOn w:val="DefaultParagraphFont"/>
    <w:link w:val="Heading2"/>
    <w:rsid w:val="00AE5123"/>
    <w:rPr>
      <w:rFonts w:ascii="Times New Roman" w:eastAsia="Aptos" w:hAnsi="Aptos" w:cs="Times New Roman"/>
      <w:b/>
      <w:kern w:val="0"/>
      <w:sz w:val="24"/>
      <w:szCs w:val="24"/>
      <w14:ligatures w14:val="none"/>
    </w:rPr>
  </w:style>
  <w:style w:type="paragraph" w:customStyle="1" w:styleId="Exhibit2">
    <w:name w:val="Exhibit 2"/>
    <w:basedOn w:val="Heading2"/>
    <w:next w:val="Normal"/>
    <w:link w:val="Exhibit2Char"/>
    <w:uiPriority w:val="99"/>
    <w:unhideWhenUsed/>
    <w:rsid w:val="00F07661"/>
    <w:rPr>
      <w:bCs/>
    </w:rPr>
  </w:style>
  <w:style w:type="character" w:customStyle="1" w:styleId="Exhibit2Char">
    <w:name w:val="Exhibit 2 Char"/>
    <w:basedOn w:val="Heading2Char"/>
    <w:link w:val="Exhibit2"/>
    <w:uiPriority w:val="99"/>
    <w:rsid w:val="00B514B0"/>
    <w:rPr>
      <w:rFonts w:ascii="Times New Roman" w:hAnsi="Times New Roman" w:eastAsiaTheme="majorEastAsia" w:cstheme="majorBidi"/>
      <w:b/>
      <w:bCs/>
      <w:kern w:val="0"/>
      <w:sz w:val="24"/>
      <w:szCs w:val="26"/>
      <w14:ligatures w14:val="none"/>
    </w:rPr>
  </w:style>
  <w:style w:type="character" w:customStyle="1" w:styleId="Heading3Char">
    <w:name w:val="Heading 3 Char"/>
    <w:basedOn w:val="DefaultParagraphFont"/>
    <w:link w:val="Heading3"/>
    <w:rsid w:val="007C6296"/>
    <w:rPr>
      <w:rFonts w:ascii="Times New Roman" w:eastAsia="Aptos" w:hAnsi="Aptos" w:cs="Times New Roman"/>
      <w:b/>
      <w:i/>
      <w:kern w:val="0"/>
      <w:sz w:val="24"/>
      <w:szCs w:val="24"/>
      <w14:ligatures w14:val="none"/>
    </w:rPr>
  </w:style>
  <w:style w:type="paragraph" w:customStyle="1" w:styleId="Exhibit3">
    <w:name w:val="Exhibit 3"/>
    <w:basedOn w:val="Heading3"/>
    <w:next w:val="Normal"/>
    <w:link w:val="Exhibit3Char"/>
    <w:uiPriority w:val="99"/>
    <w:unhideWhenUsed/>
    <w:rsid w:val="00F07661"/>
    <w:rPr>
      <w:bCs/>
    </w:rPr>
  </w:style>
  <w:style w:type="character" w:customStyle="1" w:styleId="Exhibit3Char">
    <w:name w:val="Exhibit 3 Char"/>
    <w:basedOn w:val="Heading3Char"/>
    <w:link w:val="Exhibit3"/>
    <w:uiPriority w:val="99"/>
    <w:rsid w:val="00B514B0"/>
    <w:rPr>
      <w:rFonts w:ascii="Times New Roman" w:hAnsi="Times New Roman" w:eastAsiaTheme="majorEastAsia" w:cstheme="majorBidi"/>
      <w:b/>
      <w:bCs/>
      <w:i/>
      <w:kern w:val="0"/>
      <w:sz w:val="24"/>
      <w:szCs w:val="24"/>
      <w14:ligatures w14:val="none"/>
    </w:rPr>
  </w:style>
  <w:style w:type="character" w:customStyle="1" w:styleId="Heading4Char">
    <w:name w:val="Heading 4 Char"/>
    <w:basedOn w:val="DefaultParagraphFont"/>
    <w:link w:val="Heading4"/>
    <w:uiPriority w:val="9"/>
    <w:rsid w:val="00F07661"/>
    <w:rPr>
      <w:rFonts w:ascii="Times New Roman" w:eastAsia="Aptos" w:hAnsi="Aptos" w:cs="Times New Roman"/>
      <w:kern w:val="0"/>
      <w:sz w:val="24"/>
      <w:szCs w:val="24"/>
      <w14:ligatures w14:val="none"/>
    </w:rPr>
  </w:style>
  <w:style w:type="paragraph" w:customStyle="1" w:styleId="Exhibit4">
    <w:name w:val="Exhibit 4"/>
    <w:basedOn w:val="Heading4"/>
    <w:next w:val="Normal"/>
    <w:link w:val="Exhibit4Char"/>
    <w:uiPriority w:val="99"/>
    <w:unhideWhenUsed/>
    <w:rsid w:val="00F07661"/>
    <w:rPr>
      <w:bCs/>
      <w:i/>
    </w:rPr>
  </w:style>
  <w:style w:type="character" w:customStyle="1" w:styleId="Exhibit4Char">
    <w:name w:val="Exhibit 4 Char"/>
    <w:basedOn w:val="Heading4Char"/>
    <w:link w:val="Exhibit4"/>
    <w:uiPriority w:val="99"/>
    <w:rsid w:val="00B514B0"/>
    <w:rPr>
      <w:rFonts w:ascii="Times New Roman" w:hAnsi="Times New Roman" w:eastAsiaTheme="majorEastAsia" w:cstheme="majorBidi"/>
      <w:bCs/>
      <w:i/>
      <w:iCs w:val="0"/>
      <w:kern w:val="0"/>
      <w:sz w:val="24"/>
      <w:szCs w:val="24"/>
      <w14:ligatures w14:val="none"/>
    </w:rPr>
  </w:style>
  <w:style w:type="character" w:customStyle="1" w:styleId="Heading5Char">
    <w:name w:val="Heading 5 Char"/>
    <w:basedOn w:val="DefaultParagraphFont"/>
    <w:link w:val="Heading5"/>
    <w:uiPriority w:val="9"/>
    <w:rsid w:val="00F07661"/>
    <w:rPr>
      <w:rFonts w:ascii="Times New Roman" w:eastAsia="Aptos" w:hAnsi="Aptos" w:cs="Times New Roman"/>
      <w:kern w:val="0"/>
      <w:sz w:val="24"/>
      <w:szCs w:val="24"/>
      <w14:ligatures w14:val="none"/>
    </w:rPr>
  </w:style>
  <w:style w:type="paragraph" w:customStyle="1" w:styleId="Exhibit5">
    <w:name w:val="Exhibit 5"/>
    <w:basedOn w:val="Heading5"/>
    <w:next w:val="Normal"/>
    <w:link w:val="Exhibit5Char"/>
    <w:uiPriority w:val="99"/>
    <w:unhideWhenUsed/>
    <w:rsid w:val="00F07661"/>
  </w:style>
  <w:style w:type="character" w:customStyle="1" w:styleId="Exhibit5Char">
    <w:name w:val="Exhibit 5 Char"/>
    <w:basedOn w:val="Heading5Char"/>
    <w:link w:val="Exhibit5"/>
    <w:uiPriority w:val="99"/>
    <w:rsid w:val="00B514B0"/>
    <w:rPr>
      <w:rFonts w:ascii="Times New Roman" w:hAnsi="Times New Roman" w:eastAsiaTheme="majorEastAsia" w:cstheme="majorBidi"/>
      <w:kern w:val="0"/>
      <w:sz w:val="24"/>
      <w:szCs w:val="24"/>
      <w14:ligatures w14:val="none"/>
    </w:rPr>
  </w:style>
  <w:style w:type="character" w:customStyle="1" w:styleId="Heading6Char">
    <w:name w:val="Heading 6 Char"/>
    <w:basedOn w:val="DefaultParagraphFont"/>
    <w:link w:val="Heading6"/>
    <w:uiPriority w:val="9"/>
    <w:rsid w:val="00F07661"/>
    <w:rPr>
      <w:rFonts w:ascii="Times New Roman" w:eastAsia="Aptos" w:hAnsi="Aptos" w:cs="Times New Roman"/>
      <w:kern w:val="0"/>
      <w:sz w:val="24"/>
      <w:szCs w:val="24"/>
      <w14:ligatures w14:val="none"/>
    </w:rPr>
  </w:style>
  <w:style w:type="paragraph" w:customStyle="1" w:styleId="Exhibit6">
    <w:name w:val="Exhibit 6"/>
    <w:basedOn w:val="Heading6"/>
    <w:next w:val="Normal"/>
    <w:link w:val="Exhibit6Char"/>
    <w:uiPriority w:val="99"/>
    <w:unhideWhenUsed/>
    <w:rsid w:val="00F07661"/>
    <w:rPr>
      <w:iCs/>
    </w:rPr>
  </w:style>
  <w:style w:type="character" w:customStyle="1" w:styleId="Exhibit6Char">
    <w:name w:val="Exhibit 6 Char"/>
    <w:basedOn w:val="Heading6Char"/>
    <w:link w:val="Exhibit6"/>
    <w:uiPriority w:val="99"/>
    <w:rsid w:val="00B514B0"/>
    <w:rPr>
      <w:rFonts w:ascii="Times New Roman" w:hAnsi="Times New Roman" w:eastAsiaTheme="majorEastAsia" w:cstheme="majorBidi"/>
      <w:iCs/>
      <w:kern w:val="0"/>
      <w:sz w:val="24"/>
      <w:szCs w:val="24"/>
      <w14:ligatures w14:val="none"/>
    </w:rPr>
  </w:style>
  <w:style w:type="character" w:customStyle="1" w:styleId="Heading7Char">
    <w:name w:val="Heading 7 Char"/>
    <w:basedOn w:val="DefaultParagraphFont"/>
    <w:link w:val="Heading7"/>
    <w:rsid w:val="00F07661"/>
    <w:rPr>
      <w:rFonts w:ascii="Times New Roman" w:eastAsia="Aptos" w:hAnsi="Aptos" w:cs="Times New Roman"/>
      <w:kern w:val="0"/>
      <w:sz w:val="24"/>
      <w:szCs w:val="24"/>
      <w14:ligatures w14:val="none"/>
    </w:rPr>
  </w:style>
  <w:style w:type="paragraph" w:customStyle="1" w:styleId="Exhibit7">
    <w:name w:val="Exhibit 7"/>
    <w:basedOn w:val="Heading7"/>
    <w:next w:val="Normal"/>
    <w:link w:val="Exhibit7Char"/>
    <w:uiPriority w:val="99"/>
    <w:unhideWhenUsed/>
    <w:rsid w:val="00F07661"/>
    <w:rPr>
      <w:i/>
    </w:rPr>
  </w:style>
  <w:style w:type="character" w:customStyle="1" w:styleId="Exhibit7Char">
    <w:name w:val="Exhibit 7 Char"/>
    <w:basedOn w:val="Heading7Char"/>
    <w:link w:val="Exhibit7"/>
    <w:uiPriority w:val="99"/>
    <w:rsid w:val="00B514B0"/>
    <w:rPr>
      <w:rFonts w:ascii="Times New Roman" w:hAnsi="Times New Roman" w:eastAsiaTheme="majorEastAsia" w:cstheme="majorBidi"/>
      <w:i/>
      <w:iCs w:val="0"/>
      <w:kern w:val="0"/>
      <w:sz w:val="24"/>
      <w:szCs w:val="24"/>
      <w14:ligatures w14:val="none"/>
    </w:rPr>
  </w:style>
  <w:style w:type="character" w:customStyle="1" w:styleId="Heading8Char">
    <w:name w:val="Heading 8 Char"/>
    <w:basedOn w:val="DefaultParagraphFont"/>
    <w:link w:val="Heading8"/>
    <w:rsid w:val="00F07661"/>
    <w:rPr>
      <w:rFonts w:ascii="Times New Roman" w:eastAsia="Aptos" w:hAnsi="Aptos" w:cs="Times New Roman"/>
      <w:kern w:val="0"/>
      <w:sz w:val="24"/>
      <w:szCs w:val="24"/>
      <w14:ligatures w14:val="none"/>
    </w:rPr>
  </w:style>
  <w:style w:type="paragraph" w:customStyle="1" w:styleId="Exhibit8">
    <w:name w:val="Exhibit 8"/>
    <w:basedOn w:val="Heading8"/>
    <w:next w:val="Normal"/>
    <w:link w:val="Exhibit8Char"/>
    <w:uiPriority w:val="99"/>
    <w:unhideWhenUsed/>
    <w:rsid w:val="00F07661"/>
    <w:rPr>
      <w:szCs w:val="20"/>
    </w:rPr>
  </w:style>
  <w:style w:type="character" w:customStyle="1" w:styleId="Exhibit8Char">
    <w:name w:val="Exhibit 8 Char"/>
    <w:basedOn w:val="Heading8Char"/>
    <w:link w:val="Exhibit8"/>
    <w:uiPriority w:val="99"/>
    <w:rsid w:val="00B514B0"/>
    <w:rPr>
      <w:rFonts w:ascii="Times New Roman" w:hAnsi="Times New Roman" w:eastAsiaTheme="majorEastAsia" w:cstheme="majorBidi"/>
      <w:kern w:val="0"/>
      <w:sz w:val="24"/>
      <w:szCs w:val="20"/>
      <w14:ligatures w14:val="none"/>
    </w:rPr>
  </w:style>
  <w:style w:type="character" w:customStyle="1" w:styleId="Heading9Char">
    <w:name w:val="Heading 9 Char"/>
    <w:basedOn w:val="DefaultParagraphFont"/>
    <w:link w:val="Heading9"/>
    <w:rsid w:val="00F07661"/>
    <w:rPr>
      <w:rFonts w:ascii="Times New Roman" w:eastAsia="Aptos" w:hAnsi="Aptos" w:cs="Times New Roman"/>
      <w:kern w:val="0"/>
      <w:sz w:val="24"/>
      <w:szCs w:val="24"/>
      <w14:ligatures w14:val="none"/>
    </w:rPr>
  </w:style>
  <w:style w:type="paragraph" w:customStyle="1" w:styleId="Exhibit9">
    <w:name w:val="Exhibit 9"/>
    <w:basedOn w:val="Heading9"/>
    <w:next w:val="Normal"/>
    <w:link w:val="Exhibit9Char"/>
    <w:uiPriority w:val="99"/>
    <w:unhideWhenUsed/>
    <w:rsid w:val="00F07661"/>
    <w:rPr>
      <w:i/>
      <w:szCs w:val="20"/>
    </w:rPr>
  </w:style>
  <w:style w:type="character" w:customStyle="1" w:styleId="Exhibit9Char">
    <w:name w:val="Exhibit 9 Char"/>
    <w:basedOn w:val="Heading9Char"/>
    <w:link w:val="Exhibit9"/>
    <w:uiPriority w:val="99"/>
    <w:rsid w:val="00B514B0"/>
    <w:rPr>
      <w:rFonts w:ascii="Times New Roman" w:hAnsi="Times New Roman" w:eastAsiaTheme="majorEastAsia" w:cstheme="majorBidi"/>
      <w:i/>
      <w:iCs w:val="0"/>
      <w:kern w:val="0"/>
      <w:sz w:val="24"/>
      <w:szCs w:val="20"/>
      <w14:ligatures w14:val="none"/>
    </w:rPr>
  </w:style>
  <w:style w:type="paragraph" w:styleId="Footer">
    <w:name w:val="footer"/>
    <w:basedOn w:val="Normal"/>
    <w:link w:val="FooterChar"/>
    <w:uiPriority w:val="99"/>
    <w:unhideWhenUsed/>
    <w:rsid w:val="00F07661"/>
    <w:pPr>
      <w:tabs>
        <w:tab w:val="center" w:pos="4680"/>
        <w:tab w:val="right" w:pos="9360"/>
      </w:tabs>
      <w:spacing w:after="0"/>
    </w:pPr>
  </w:style>
  <w:style w:type="character" w:customStyle="1" w:styleId="FooterChar">
    <w:name w:val="Footer Char"/>
    <w:basedOn w:val="DefaultParagraphFont"/>
    <w:link w:val="Footer"/>
    <w:uiPriority w:val="99"/>
    <w:rsid w:val="00F07661"/>
    <w:rPr>
      <w:rFonts w:ascii="Times New Roman" w:hAnsi="Times New Roman"/>
      <w:sz w:val="24"/>
      <w:szCs w:val="24"/>
    </w:rPr>
  </w:style>
  <w:style w:type="paragraph" w:styleId="FootnoteText">
    <w:name w:val="footnote text"/>
    <w:basedOn w:val="Normal"/>
    <w:link w:val="FootnoteTextChar"/>
    <w:uiPriority w:val="99"/>
    <w:unhideWhenUsed/>
    <w:rsid w:val="00F07661"/>
    <w:pPr>
      <w:spacing w:after="0"/>
    </w:pPr>
    <w:rPr>
      <w:sz w:val="20"/>
      <w:szCs w:val="20"/>
    </w:rPr>
  </w:style>
  <w:style w:type="character" w:customStyle="1" w:styleId="FootnoteTextChar">
    <w:name w:val="Footnote Text Char"/>
    <w:basedOn w:val="DefaultParagraphFont"/>
    <w:link w:val="FootnoteText"/>
    <w:uiPriority w:val="99"/>
    <w:rsid w:val="00F07661"/>
    <w:rPr>
      <w:rFonts w:ascii="Times New Roman" w:hAnsi="Times New Roman"/>
      <w:sz w:val="20"/>
      <w:szCs w:val="20"/>
    </w:rPr>
  </w:style>
  <w:style w:type="paragraph" w:styleId="Header">
    <w:name w:val="header"/>
    <w:basedOn w:val="Normal"/>
    <w:link w:val="HeaderChar"/>
    <w:uiPriority w:val="99"/>
    <w:unhideWhenUsed/>
    <w:rsid w:val="00F07661"/>
    <w:pPr>
      <w:tabs>
        <w:tab w:val="center" w:pos="4680"/>
        <w:tab w:val="right" w:pos="9360"/>
      </w:tabs>
      <w:spacing w:after="0"/>
    </w:pPr>
  </w:style>
  <w:style w:type="character" w:customStyle="1" w:styleId="HeaderChar">
    <w:name w:val="Header Char"/>
    <w:basedOn w:val="DefaultParagraphFont"/>
    <w:link w:val="Header"/>
    <w:uiPriority w:val="99"/>
    <w:rsid w:val="00F07661"/>
    <w:rPr>
      <w:rFonts w:ascii="Times New Roman" w:hAnsi="Times New Roman"/>
      <w:sz w:val="24"/>
      <w:szCs w:val="24"/>
    </w:rPr>
  </w:style>
  <w:style w:type="paragraph" w:styleId="Index1">
    <w:name w:val="index 1"/>
    <w:basedOn w:val="Normal"/>
    <w:next w:val="Normal"/>
    <w:uiPriority w:val="99"/>
    <w:semiHidden/>
    <w:unhideWhenUsed/>
    <w:rsid w:val="00F07661"/>
    <w:pPr>
      <w:spacing w:after="0"/>
      <w:ind w:left="245" w:hanging="245"/>
    </w:pPr>
  </w:style>
  <w:style w:type="paragraph" w:styleId="Index2">
    <w:name w:val="index 2"/>
    <w:basedOn w:val="Normal"/>
    <w:next w:val="Normal"/>
    <w:uiPriority w:val="99"/>
    <w:semiHidden/>
    <w:unhideWhenUsed/>
    <w:rsid w:val="00F07661"/>
    <w:pPr>
      <w:spacing w:after="0"/>
      <w:ind w:left="490" w:hanging="245"/>
    </w:pPr>
  </w:style>
  <w:style w:type="paragraph" w:styleId="Index3">
    <w:name w:val="index 3"/>
    <w:basedOn w:val="Normal"/>
    <w:next w:val="Normal"/>
    <w:uiPriority w:val="99"/>
    <w:semiHidden/>
    <w:unhideWhenUsed/>
    <w:rsid w:val="00F07661"/>
    <w:pPr>
      <w:spacing w:after="0"/>
      <w:ind w:left="720" w:hanging="245"/>
    </w:pPr>
  </w:style>
  <w:style w:type="paragraph" w:styleId="Index4">
    <w:name w:val="index 4"/>
    <w:basedOn w:val="Normal"/>
    <w:next w:val="Normal"/>
    <w:uiPriority w:val="99"/>
    <w:semiHidden/>
    <w:unhideWhenUsed/>
    <w:rsid w:val="00F07661"/>
    <w:pPr>
      <w:spacing w:after="0"/>
      <w:ind w:left="965" w:hanging="245"/>
    </w:pPr>
  </w:style>
  <w:style w:type="paragraph" w:styleId="Index5">
    <w:name w:val="index 5"/>
    <w:basedOn w:val="Normal"/>
    <w:next w:val="Normal"/>
    <w:uiPriority w:val="99"/>
    <w:semiHidden/>
    <w:unhideWhenUsed/>
    <w:rsid w:val="00F07661"/>
    <w:pPr>
      <w:spacing w:after="0"/>
      <w:ind w:left="1210" w:hanging="245"/>
    </w:pPr>
  </w:style>
  <w:style w:type="paragraph" w:styleId="Index6">
    <w:name w:val="index 6"/>
    <w:basedOn w:val="Normal"/>
    <w:next w:val="Normal"/>
    <w:uiPriority w:val="99"/>
    <w:semiHidden/>
    <w:unhideWhenUsed/>
    <w:rsid w:val="00F07661"/>
    <w:pPr>
      <w:spacing w:after="0"/>
      <w:ind w:left="1440" w:hanging="240"/>
    </w:pPr>
  </w:style>
  <w:style w:type="paragraph" w:styleId="Index7">
    <w:name w:val="index 7"/>
    <w:basedOn w:val="Normal"/>
    <w:next w:val="Normal"/>
    <w:uiPriority w:val="99"/>
    <w:semiHidden/>
    <w:unhideWhenUsed/>
    <w:rsid w:val="00F07661"/>
    <w:pPr>
      <w:spacing w:after="0"/>
      <w:ind w:left="1685" w:hanging="245"/>
    </w:pPr>
  </w:style>
  <w:style w:type="paragraph" w:styleId="Index8">
    <w:name w:val="index 8"/>
    <w:basedOn w:val="Normal"/>
    <w:next w:val="Normal"/>
    <w:uiPriority w:val="99"/>
    <w:semiHidden/>
    <w:unhideWhenUsed/>
    <w:rsid w:val="00F07661"/>
    <w:pPr>
      <w:spacing w:after="0"/>
      <w:ind w:left="1930" w:hanging="245"/>
    </w:pPr>
  </w:style>
  <w:style w:type="paragraph" w:styleId="Index9">
    <w:name w:val="index 9"/>
    <w:basedOn w:val="Normal"/>
    <w:next w:val="Normal"/>
    <w:uiPriority w:val="99"/>
    <w:semiHidden/>
    <w:unhideWhenUsed/>
    <w:rsid w:val="00F07661"/>
    <w:pPr>
      <w:spacing w:after="0"/>
      <w:ind w:left="2160" w:hanging="245"/>
    </w:pPr>
  </w:style>
  <w:style w:type="paragraph" w:styleId="IndexHeading">
    <w:name w:val="index heading"/>
    <w:basedOn w:val="Normal"/>
    <w:next w:val="Index1"/>
    <w:uiPriority w:val="99"/>
    <w:semiHidden/>
    <w:unhideWhenUsed/>
    <w:rsid w:val="00F07661"/>
    <w:rPr>
      <w:rFonts w:eastAsiaTheme="majorEastAsia" w:cstheme="majorBidi"/>
      <w:b/>
      <w:bCs/>
    </w:rPr>
  </w:style>
  <w:style w:type="character" w:styleId="IntenseEmphasis">
    <w:name w:val="Intense Emphasis"/>
    <w:basedOn w:val="DefaultParagraphFont"/>
    <w:uiPriority w:val="22"/>
    <w:unhideWhenUsed/>
    <w:rsid w:val="00F07661"/>
    <w:rPr>
      <w:i/>
      <w:iCs/>
      <w:color w:val="156082" w:themeColor="accent1"/>
    </w:rPr>
  </w:style>
  <w:style w:type="paragraph" w:styleId="IntenseQuote">
    <w:name w:val="Intense Quote"/>
    <w:basedOn w:val="Normal"/>
    <w:next w:val="Normal"/>
    <w:link w:val="IntenseQuoteChar"/>
    <w:uiPriority w:val="22"/>
    <w:unhideWhenUsed/>
    <w:rsid w:val="00F07661"/>
    <w:pPr>
      <w:ind w:left="1440" w:right="1440"/>
    </w:pPr>
    <w:rPr>
      <w:iCs/>
    </w:rPr>
  </w:style>
  <w:style w:type="character" w:customStyle="1" w:styleId="IntenseQuoteChar">
    <w:name w:val="Intense Quote Char"/>
    <w:basedOn w:val="DefaultParagraphFont"/>
    <w:link w:val="IntenseQuote"/>
    <w:uiPriority w:val="22"/>
    <w:rsid w:val="00542ED5"/>
    <w:rPr>
      <w:rFonts w:ascii="Times New Roman" w:hAnsi="Times New Roman"/>
      <w:iCs/>
      <w:sz w:val="24"/>
      <w:szCs w:val="24"/>
    </w:rPr>
  </w:style>
  <w:style w:type="character" w:styleId="IntenseReference">
    <w:name w:val="Intense Reference"/>
    <w:basedOn w:val="DefaultParagraphFont"/>
    <w:uiPriority w:val="22"/>
    <w:unhideWhenUsed/>
    <w:rsid w:val="00F07661"/>
    <w:rPr>
      <w:b/>
      <w:bCs/>
      <w:smallCaps/>
      <w:color w:val="156082" w:themeColor="accent1"/>
      <w:spacing w:val="5"/>
    </w:rPr>
  </w:style>
  <w:style w:type="paragraph" w:styleId="ListParagraph">
    <w:name w:val="List Paragraph"/>
    <w:basedOn w:val="Normal"/>
    <w:uiPriority w:val="34"/>
    <w:rsid w:val="00F07661"/>
    <w:pPr>
      <w:ind w:left="720"/>
    </w:pPr>
  </w:style>
  <w:style w:type="paragraph" w:styleId="Macro">
    <w:name w:val="macro"/>
    <w:link w:val="MacroTextChar"/>
    <w:uiPriority w:val="99"/>
    <w:semiHidden/>
    <w:unhideWhenUsed/>
    <w:rsid w:val="00F0766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
    <w:uiPriority w:val="99"/>
    <w:semiHidden/>
    <w:rsid w:val="00F07661"/>
    <w:rPr>
      <w:rFonts w:ascii="Consolas" w:hAnsi="Consolas"/>
      <w:sz w:val="20"/>
      <w:szCs w:val="20"/>
    </w:rPr>
  </w:style>
  <w:style w:type="paragraph" w:styleId="MessageHeader">
    <w:name w:val="Message Header"/>
    <w:basedOn w:val="Normal"/>
    <w:link w:val="MessageHeaderChar"/>
    <w:uiPriority w:val="99"/>
    <w:semiHidden/>
    <w:unhideWhenUsed/>
    <w:rsid w:val="00F076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07661"/>
    <w:rPr>
      <w:rFonts w:ascii="Times New Roman" w:hAnsi="Times New Roman" w:eastAsiaTheme="majorEastAsia" w:cstheme="majorBidi"/>
      <w:sz w:val="24"/>
      <w:szCs w:val="24"/>
      <w:shd w:val="pct20" w:color="auto" w:fill="auto"/>
    </w:rPr>
  </w:style>
  <w:style w:type="paragraph" w:styleId="NoSpacing">
    <w:name w:val="No Spacing"/>
    <w:uiPriority w:val="1"/>
    <w:qFormat/>
    <w:rsid w:val="00F07661"/>
    <w:pPr>
      <w:spacing w:after="0" w:line="240" w:lineRule="auto"/>
      <w:jc w:val="both"/>
    </w:pPr>
    <w:rPr>
      <w:rFonts w:ascii="Times New Roman" w:hAnsi="Times New Roman"/>
      <w:sz w:val="24"/>
      <w:szCs w:val="24"/>
    </w:rPr>
  </w:style>
  <w:style w:type="paragraph" w:styleId="NormalWeb">
    <w:name w:val="Normal (Web)"/>
    <w:basedOn w:val="Normal"/>
    <w:uiPriority w:val="99"/>
    <w:semiHidden/>
    <w:unhideWhenUsed/>
    <w:rsid w:val="00F07661"/>
  </w:style>
  <w:style w:type="paragraph" w:styleId="NormalIndent">
    <w:name w:val="Normal Indent"/>
    <w:basedOn w:val="Normal"/>
    <w:uiPriority w:val="99"/>
    <w:semiHidden/>
    <w:unhideWhenUsed/>
    <w:rsid w:val="00F07661"/>
    <w:pPr>
      <w:ind w:left="720"/>
    </w:pPr>
  </w:style>
  <w:style w:type="paragraph" w:styleId="NoteHeading">
    <w:name w:val="Note Heading"/>
    <w:basedOn w:val="Normal"/>
    <w:next w:val="Normal"/>
    <w:link w:val="NoteHeadingChar"/>
    <w:uiPriority w:val="99"/>
    <w:semiHidden/>
    <w:unhideWhenUsed/>
    <w:rsid w:val="00F07661"/>
    <w:pPr>
      <w:spacing w:after="0"/>
    </w:pPr>
  </w:style>
  <w:style w:type="character" w:customStyle="1" w:styleId="NoteHeadingChar">
    <w:name w:val="Note Heading Char"/>
    <w:basedOn w:val="DefaultParagraphFont"/>
    <w:link w:val="NoteHeading"/>
    <w:uiPriority w:val="99"/>
    <w:semiHidden/>
    <w:rsid w:val="00F07661"/>
    <w:rPr>
      <w:rFonts w:ascii="Times New Roman" w:hAnsi="Times New Roman"/>
      <w:sz w:val="24"/>
      <w:szCs w:val="24"/>
    </w:rPr>
  </w:style>
  <w:style w:type="paragraph" w:styleId="PlainText">
    <w:name w:val="Plain Text"/>
    <w:basedOn w:val="Normal"/>
    <w:link w:val="PlainTextChar"/>
    <w:uiPriority w:val="99"/>
    <w:semiHidden/>
    <w:unhideWhenUsed/>
    <w:rsid w:val="00F07661"/>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07661"/>
    <w:rPr>
      <w:rFonts w:ascii="Consolas" w:hAnsi="Consolas"/>
      <w:sz w:val="21"/>
      <w:szCs w:val="21"/>
    </w:rPr>
  </w:style>
  <w:style w:type="paragraph" w:styleId="Quote">
    <w:name w:val="Quote"/>
    <w:basedOn w:val="Normal"/>
    <w:next w:val="Normal"/>
    <w:link w:val="QuoteChar"/>
    <w:uiPriority w:val="2"/>
    <w:qFormat/>
    <w:rsid w:val="00F07661"/>
    <w:pPr>
      <w:ind w:left="720" w:right="720"/>
    </w:pPr>
    <w:rPr>
      <w:iCs/>
    </w:rPr>
  </w:style>
  <w:style w:type="character" w:customStyle="1" w:styleId="QuoteChar">
    <w:name w:val="Quote Char"/>
    <w:basedOn w:val="DefaultParagraphFont"/>
    <w:link w:val="Quote"/>
    <w:uiPriority w:val="2"/>
    <w:rsid w:val="00DF7DA5"/>
    <w:rPr>
      <w:rFonts w:ascii="Times New Roman" w:hAnsi="Times New Roman"/>
      <w:iCs/>
      <w:sz w:val="24"/>
      <w:szCs w:val="24"/>
    </w:rPr>
  </w:style>
  <w:style w:type="paragraph" w:styleId="Salutation">
    <w:name w:val="Salutation"/>
    <w:basedOn w:val="Normal"/>
    <w:next w:val="Normal"/>
    <w:link w:val="SalutationChar"/>
    <w:uiPriority w:val="99"/>
    <w:semiHidden/>
    <w:unhideWhenUsed/>
    <w:rsid w:val="00F07661"/>
  </w:style>
  <w:style w:type="character" w:customStyle="1" w:styleId="SalutationChar">
    <w:name w:val="Salutation Char"/>
    <w:basedOn w:val="DefaultParagraphFont"/>
    <w:link w:val="Salutation"/>
    <w:uiPriority w:val="99"/>
    <w:semiHidden/>
    <w:rsid w:val="00F07661"/>
    <w:rPr>
      <w:rFonts w:ascii="Times New Roman" w:hAnsi="Times New Roman"/>
      <w:sz w:val="24"/>
      <w:szCs w:val="24"/>
    </w:rPr>
  </w:style>
  <w:style w:type="paragraph" w:customStyle="1" w:styleId="Schedule1">
    <w:name w:val="Schedule 1"/>
    <w:basedOn w:val="Heading1"/>
    <w:next w:val="Normal"/>
    <w:link w:val="Schedule1Char"/>
    <w:uiPriority w:val="99"/>
    <w:unhideWhenUsed/>
    <w:rsid w:val="00F07661"/>
    <w:rPr>
      <w:bCs/>
      <w:szCs w:val="28"/>
    </w:rPr>
  </w:style>
  <w:style w:type="character" w:customStyle="1" w:styleId="Schedule1Char">
    <w:name w:val="Schedule 1 Char"/>
    <w:basedOn w:val="Heading1Char"/>
    <w:link w:val="Schedule1"/>
    <w:uiPriority w:val="99"/>
    <w:rsid w:val="00B514B0"/>
    <w:rPr>
      <w:rFonts w:ascii="Times New Roman" w:hAnsi="Times New Roman" w:eastAsiaTheme="majorEastAsia" w:cstheme="majorBidi"/>
      <w:b/>
      <w:bCs/>
      <w:kern w:val="0"/>
      <w:sz w:val="24"/>
      <w:szCs w:val="28"/>
      <w14:ligatures w14:val="none"/>
    </w:rPr>
  </w:style>
  <w:style w:type="paragraph" w:customStyle="1" w:styleId="Schedule2">
    <w:name w:val="Schedule 2"/>
    <w:basedOn w:val="Heading2"/>
    <w:next w:val="Normal"/>
    <w:link w:val="Schedule2Char"/>
    <w:uiPriority w:val="99"/>
    <w:unhideWhenUsed/>
    <w:rsid w:val="00F07661"/>
    <w:rPr>
      <w:bCs/>
    </w:rPr>
  </w:style>
  <w:style w:type="character" w:customStyle="1" w:styleId="Schedule2Char">
    <w:name w:val="Schedule 2 Char"/>
    <w:basedOn w:val="Heading2Char"/>
    <w:link w:val="Schedule2"/>
    <w:uiPriority w:val="99"/>
    <w:rsid w:val="00B514B0"/>
    <w:rPr>
      <w:rFonts w:ascii="Times New Roman" w:hAnsi="Times New Roman" w:eastAsiaTheme="majorEastAsia" w:cstheme="majorBidi"/>
      <w:b/>
      <w:bCs/>
      <w:kern w:val="0"/>
      <w:sz w:val="24"/>
      <w:szCs w:val="26"/>
      <w14:ligatures w14:val="none"/>
    </w:rPr>
  </w:style>
  <w:style w:type="paragraph" w:customStyle="1" w:styleId="Schedule3">
    <w:name w:val="Schedule 3"/>
    <w:basedOn w:val="Heading3"/>
    <w:next w:val="Normal"/>
    <w:link w:val="Schedule3Char"/>
    <w:uiPriority w:val="99"/>
    <w:unhideWhenUsed/>
    <w:rsid w:val="00F07661"/>
    <w:rPr>
      <w:bCs/>
    </w:rPr>
  </w:style>
  <w:style w:type="character" w:customStyle="1" w:styleId="Schedule3Char">
    <w:name w:val="Schedule 3 Char"/>
    <w:basedOn w:val="Heading3Char"/>
    <w:link w:val="Schedule3"/>
    <w:uiPriority w:val="99"/>
    <w:rsid w:val="00B514B0"/>
    <w:rPr>
      <w:rFonts w:ascii="Times New Roman" w:hAnsi="Times New Roman" w:eastAsiaTheme="majorEastAsia" w:cstheme="majorBidi"/>
      <w:b/>
      <w:bCs/>
      <w:i/>
      <w:kern w:val="0"/>
      <w:sz w:val="24"/>
      <w:szCs w:val="24"/>
      <w14:ligatures w14:val="none"/>
    </w:rPr>
  </w:style>
  <w:style w:type="paragraph" w:customStyle="1" w:styleId="Schedule4">
    <w:name w:val="Schedule 4"/>
    <w:basedOn w:val="Heading4"/>
    <w:next w:val="Normal"/>
    <w:link w:val="Schedule4Char"/>
    <w:uiPriority w:val="99"/>
    <w:unhideWhenUsed/>
    <w:rsid w:val="00F07661"/>
    <w:rPr>
      <w:bCs/>
      <w:i/>
    </w:rPr>
  </w:style>
  <w:style w:type="character" w:customStyle="1" w:styleId="Schedule4Char">
    <w:name w:val="Schedule 4 Char"/>
    <w:basedOn w:val="Heading4Char"/>
    <w:link w:val="Schedule4"/>
    <w:uiPriority w:val="99"/>
    <w:rsid w:val="00B514B0"/>
    <w:rPr>
      <w:rFonts w:ascii="Times New Roman" w:hAnsi="Times New Roman" w:eastAsiaTheme="majorEastAsia" w:cstheme="majorBidi"/>
      <w:bCs/>
      <w:i/>
      <w:iCs w:val="0"/>
      <w:kern w:val="0"/>
      <w:sz w:val="24"/>
      <w:szCs w:val="24"/>
      <w14:ligatures w14:val="none"/>
    </w:rPr>
  </w:style>
  <w:style w:type="paragraph" w:customStyle="1" w:styleId="Schedule5">
    <w:name w:val="Schedule 5"/>
    <w:basedOn w:val="Heading5"/>
    <w:next w:val="Normal"/>
    <w:link w:val="Schedule5Char"/>
    <w:uiPriority w:val="99"/>
    <w:unhideWhenUsed/>
    <w:rsid w:val="00F07661"/>
  </w:style>
  <w:style w:type="character" w:customStyle="1" w:styleId="Schedule5Char">
    <w:name w:val="Schedule 5 Char"/>
    <w:basedOn w:val="Heading5Char"/>
    <w:link w:val="Schedule5"/>
    <w:uiPriority w:val="99"/>
    <w:rsid w:val="00B514B0"/>
    <w:rPr>
      <w:rFonts w:ascii="Times New Roman" w:hAnsi="Times New Roman" w:eastAsiaTheme="majorEastAsia" w:cstheme="majorBidi"/>
      <w:kern w:val="0"/>
      <w:sz w:val="24"/>
      <w:szCs w:val="24"/>
      <w14:ligatures w14:val="none"/>
    </w:rPr>
  </w:style>
  <w:style w:type="paragraph" w:customStyle="1" w:styleId="Schedule6">
    <w:name w:val="Schedule 6"/>
    <w:basedOn w:val="Heading6"/>
    <w:next w:val="Normal"/>
    <w:link w:val="Schedule6Char"/>
    <w:uiPriority w:val="99"/>
    <w:unhideWhenUsed/>
    <w:rsid w:val="00F07661"/>
    <w:rPr>
      <w:iCs/>
    </w:rPr>
  </w:style>
  <w:style w:type="character" w:customStyle="1" w:styleId="Schedule6Char">
    <w:name w:val="Schedule 6 Char"/>
    <w:basedOn w:val="Heading6Char"/>
    <w:link w:val="Schedule6"/>
    <w:uiPriority w:val="99"/>
    <w:rsid w:val="00B514B0"/>
    <w:rPr>
      <w:rFonts w:ascii="Times New Roman" w:hAnsi="Times New Roman" w:eastAsiaTheme="majorEastAsia" w:cstheme="majorBidi"/>
      <w:iCs/>
      <w:kern w:val="0"/>
      <w:sz w:val="24"/>
      <w:szCs w:val="24"/>
      <w14:ligatures w14:val="none"/>
    </w:rPr>
  </w:style>
  <w:style w:type="paragraph" w:customStyle="1" w:styleId="Schedule7">
    <w:name w:val="Schedule 7"/>
    <w:basedOn w:val="Heading7"/>
    <w:next w:val="Normal"/>
    <w:link w:val="Schedule7Char"/>
    <w:uiPriority w:val="99"/>
    <w:unhideWhenUsed/>
    <w:rsid w:val="00F07661"/>
    <w:rPr>
      <w:i/>
    </w:rPr>
  </w:style>
  <w:style w:type="character" w:customStyle="1" w:styleId="Schedule7Char">
    <w:name w:val="Schedule 7 Char"/>
    <w:basedOn w:val="Heading7Char"/>
    <w:link w:val="Schedule7"/>
    <w:uiPriority w:val="99"/>
    <w:rsid w:val="00B514B0"/>
    <w:rPr>
      <w:rFonts w:ascii="Times New Roman" w:hAnsi="Times New Roman" w:eastAsiaTheme="majorEastAsia" w:cstheme="majorBidi"/>
      <w:i/>
      <w:iCs w:val="0"/>
      <w:kern w:val="0"/>
      <w:sz w:val="24"/>
      <w:szCs w:val="24"/>
      <w14:ligatures w14:val="none"/>
    </w:rPr>
  </w:style>
  <w:style w:type="paragraph" w:customStyle="1" w:styleId="Schedule8">
    <w:name w:val="Schedule 8"/>
    <w:basedOn w:val="Heading8"/>
    <w:next w:val="Normal"/>
    <w:link w:val="Schedule8Char"/>
    <w:uiPriority w:val="99"/>
    <w:unhideWhenUsed/>
    <w:rsid w:val="00F07661"/>
    <w:rPr>
      <w:szCs w:val="20"/>
    </w:rPr>
  </w:style>
  <w:style w:type="character" w:customStyle="1" w:styleId="Schedule8Char">
    <w:name w:val="Schedule 8 Char"/>
    <w:basedOn w:val="Heading8Char"/>
    <w:link w:val="Schedule8"/>
    <w:uiPriority w:val="99"/>
    <w:rsid w:val="00B514B0"/>
    <w:rPr>
      <w:rFonts w:ascii="Times New Roman" w:hAnsi="Times New Roman" w:eastAsiaTheme="majorEastAsia" w:cstheme="majorBidi"/>
      <w:kern w:val="0"/>
      <w:sz w:val="24"/>
      <w:szCs w:val="20"/>
      <w14:ligatures w14:val="none"/>
    </w:rPr>
  </w:style>
  <w:style w:type="paragraph" w:customStyle="1" w:styleId="Schedule9">
    <w:name w:val="Schedule 9"/>
    <w:basedOn w:val="Heading9"/>
    <w:next w:val="Normal"/>
    <w:link w:val="Schedule9Char"/>
    <w:uiPriority w:val="99"/>
    <w:unhideWhenUsed/>
    <w:rsid w:val="00F07661"/>
    <w:rPr>
      <w:i/>
      <w:szCs w:val="20"/>
    </w:rPr>
  </w:style>
  <w:style w:type="character" w:customStyle="1" w:styleId="Schedule9Char">
    <w:name w:val="Schedule 9 Char"/>
    <w:basedOn w:val="Heading9Char"/>
    <w:link w:val="Schedule9"/>
    <w:uiPriority w:val="99"/>
    <w:rsid w:val="00B514B0"/>
    <w:rPr>
      <w:rFonts w:ascii="Times New Roman" w:hAnsi="Times New Roman" w:eastAsiaTheme="majorEastAsia" w:cstheme="majorBidi"/>
      <w:i/>
      <w:iCs w:val="0"/>
      <w:kern w:val="0"/>
      <w:sz w:val="24"/>
      <w:szCs w:val="20"/>
      <w14:ligatures w14:val="none"/>
    </w:rPr>
  </w:style>
  <w:style w:type="paragraph" w:styleId="Signature">
    <w:name w:val="Signature"/>
    <w:basedOn w:val="Normal"/>
    <w:link w:val="SignatureChar"/>
    <w:uiPriority w:val="10"/>
    <w:qFormat/>
    <w:rsid w:val="00F07661"/>
    <w:pPr>
      <w:keepNext/>
      <w:spacing w:after="0"/>
      <w:ind w:left="4867" w:hanging="187"/>
      <w:jc w:val="left"/>
    </w:pPr>
  </w:style>
  <w:style w:type="character" w:customStyle="1" w:styleId="SignatureChar">
    <w:name w:val="Signature Char"/>
    <w:basedOn w:val="DefaultParagraphFont"/>
    <w:link w:val="Signature"/>
    <w:uiPriority w:val="10"/>
    <w:rsid w:val="00D37500"/>
    <w:rPr>
      <w:rFonts w:ascii="Times New Roman" w:hAnsi="Times New Roman"/>
      <w:sz w:val="24"/>
      <w:szCs w:val="24"/>
    </w:rPr>
  </w:style>
  <w:style w:type="paragraph" w:customStyle="1" w:styleId="SignatureLine">
    <w:name w:val="Signature Line"/>
    <w:basedOn w:val="Normal"/>
    <w:next w:val="Signature"/>
    <w:uiPriority w:val="10"/>
    <w:unhideWhenUsed/>
    <w:qFormat/>
    <w:rsid w:val="00F07661"/>
    <w:pPr>
      <w:keepNext/>
      <w:tabs>
        <w:tab w:val="left" w:pos="9360"/>
      </w:tabs>
      <w:spacing w:after="0"/>
      <w:ind w:left="4680"/>
      <w:jc w:val="left"/>
    </w:pPr>
  </w:style>
  <w:style w:type="character" w:customStyle="1" w:styleId="StrongEmphasis">
    <w:name w:val="Strong Emphasis"/>
    <w:basedOn w:val="DefaultParagraphFont"/>
    <w:uiPriority w:val="22"/>
    <w:unhideWhenUsed/>
    <w:rsid w:val="00F07661"/>
    <w:rPr>
      <w:b/>
      <w:i/>
    </w:rPr>
  </w:style>
  <w:style w:type="paragraph" w:styleId="Subtitle">
    <w:name w:val="Subtitle"/>
    <w:basedOn w:val="Normal"/>
    <w:next w:val="Normal"/>
    <w:link w:val="SubtitleChar"/>
    <w:uiPriority w:val="11"/>
    <w:unhideWhenUsed/>
    <w:qFormat/>
    <w:rsid w:val="00F07661"/>
    <w:pPr>
      <w:numPr>
        <w:ilvl w:val="1"/>
      </w:numPr>
    </w:pPr>
    <w:rPr>
      <w:rFonts w:eastAsiaTheme="minorEastAsia"/>
      <w:szCs w:val="22"/>
    </w:rPr>
  </w:style>
  <w:style w:type="character" w:customStyle="1" w:styleId="SubtitleChar">
    <w:name w:val="Subtitle Char"/>
    <w:basedOn w:val="DefaultParagraphFont"/>
    <w:link w:val="Subtitle"/>
    <w:uiPriority w:val="11"/>
    <w:rsid w:val="0047359E"/>
    <w:rPr>
      <w:rFonts w:ascii="Times New Roman" w:hAnsi="Times New Roman" w:eastAsiaTheme="minorEastAsia"/>
      <w:sz w:val="24"/>
    </w:rPr>
  </w:style>
  <w:style w:type="table" w:styleId="TableGrid">
    <w:name w:val="Table Grid"/>
    <w:basedOn w:val="TableNormal"/>
    <w:uiPriority w:val="39"/>
    <w:rsid w:val="00F07661"/>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F07661"/>
    <w:pPr>
      <w:spacing w:after="0"/>
      <w:ind w:left="245" w:right="1440" w:hanging="245"/>
      <w:jc w:val="left"/>
    </w:pPr>
  </w:style>
  <w:style w:type="paragraph" w:styleId="TableofFigures">
    <w:name w:val="table of figures"/>
    <w:basedOn w:val="Normal"/>
    <w:next w:val="Normal"/>
    <w:uiPriority w:val="99"/>
    <w:semiHidden/>
    <w:unhideWhenUsed/>
    <w:rsid w:val="00F07661"/>
    <w:pPr>
      <w:spacing w:after="0"/>
    </w:pPr>
  </w:style>
  <w:style w:type="paragraph" w:styleId="Title">
    <w:name w:val="Title"/>
    <w:basedOn w:val="Normal"/>
    <w:next w:val="Normal"/>
    <w:link w:val="TitleChar"/>
    <w:uiPriority w:val="10"/>
    <w:qFormat/>
    <w:rsid w:val="00F07661"/>
    <w:pPr>
      <w:keepNext/>
      <w:jc w:val="center"/>
    </w:pPr>
    <w:rPr>
      <w:rFonts w:eastAsiaTheme="majorEastAsia" w:cstheme="majorBidi"/>
      <w:b/>
      <w:szCs w:val="56"/>
    </w:rPr>
  </w:style>
  <w:style w:type="character" w:customStyle="1" w:styleId="TitleChar">
    <w:name w:val="Title Char"/>
    <w:basedOn w:val="DefaultParagraphFont"/>
    <w:link w:val="Title"/>
    <w:uiPriority w:val="10"/>
    <w:rsid w:val="00F07661"/>
    <w:rPr>
      <w:rFonts w:ascii="Times New Roman" w:hAnsi="Times New Roman" w:eastAsiaTheme="majorEastAsia" w:cstheme="majorBidi"/>
      <w:b/>
      <w:sz w:val="24"/>
      <w:szCs w:val="56"/>
    </w:rPr>
  </w:style>
  <w:style w:type="paragraph" w:customStyle="1" w:styleId="TitleAppendix">
    <w:name w:val="Title Appendix"/>
    <w:basedOn w:val="Title"/>
    <w:uiPriority w:val="20"/>
    <w:unhideWhenUsed/>
    <w:rsid w:val="00F07661"/>
    <w:pPr>
      <w:keepNext w:val="0"/>
      <w:spacing w:after="360"/>
      <w:outlineLvl w:val="0"/>
    </w:pPr>
    <w:rPr>
      <w:rFonts w:eastAsia="Times New Roman" w:cs="Times New Roman"/>
      <w:szCs w:val="24"/>
    </w:rPr>
  </w:style>
  <w:style w:type="paragraph" w:customStyle="1" w:styleId="TitleCover">
    <w:name w:val="Title Cover"/>
    <w:basedOn w:val="Normal"/>
    <w:uiPriority w:val="20"/>
    <w:unhideWhenUsed/>
    <w:rsid w:val="00F07661"/>
    <w:pPr>
      <w:spacing w:after="360"/>
      <w:jc w:val="center"/>
    </w:pPr>
    <w:rPr>
      <w:rFonts w:eastAsia="Times New Roman"/>
      <w:b/>
      <w:sz w:val="28"/>
      <w:szCs w:val="20"/>
    </w:rPr>
  </w:style>
  <w:style w:type="paragraph" w:customStyle="1" w:styleId="TitleDate">
    <w:name w:val="Title Date"/>
    <w:basedOn w:val="Normal"/>
    <w:uiPriority w:val="20"/>
    <w:unhideWhenUsed/>
    <w:rsid w:val="00F07661"/>
    <w:pPr>
      <w:spacing w:before="240" w:after="0"/>
      <w:jc w:val="center"/>
    </w:pPr>
    <w:rPr>
      <w:rFonts w:eastAsia="Times New Roman"/>
      <w:szCs w:val="20"/>
    </w:rPr>
  </w:style>
  <w:style w:type="paragraph" w:customStyle="1" w:styleId="TitleDocument">
    <w:name w:val="Title Document"/>
    <w:basedOn w:val="Normal"/>
    <w:next w:val="BodyText"/>
    <w:uiPriority w:val="20"/>
    <w:unhideWhenUsed/>
    <w:rsid w:val="00F07661"/>
    <w:pPr>
      <w:spacing w:after="360"/>
      <w:jc w:val="center"/>
    </w:pPr>
    <w:rPr>
      <w:rFonts w:eastAsia="Times New Roman"/>
      <w:b/>
      <w:caps/>
      <w:szCs w:val="20"/>
    </w:rPr>
  </w:style>
  <w:style w:type="paragraph" w:customStyle="1" w:styleId="TitleExhibit">
    <w:name w:val="Title Exhibit"/>
    <w:basedOn w:val="Title"/>
    <w:uiPriority w:val="20"/>
    <w:unhideWhenUsed/>
    <w:rsid w:val="00F07661"/>
    <w:pPr>
      <w:keepNext w:val="0"/>
      <w:spacing w:after="360"/>
      <w:outlineLvl w:val="0"/>
    </w:pPr>
    <w:rPr>
      <w:rFonts w:eastAsia="Times New Roman" w:cs="Times New Roman"/>
      <w:szCs w:val="24"/>
    </w:rPr>
  </w:style>
  <w:style w:type="paragraph" w:customStyle="1" w:styleId="TitleIndex">
    <w:name w:val="Title Index"/>
    <w:basedOn w:val="Title"/>
    <w:uiPriority w:val="20"/>
    <w:unhideWhenUsed/>
    <w:rsid w:val="00F07661"/>
    <w:pPr>
      <w:keepNext w:val="0"/>
      <w:spacing w:after="360"/>
      <w:outlineLvl w:val="0"/>
    </w:pPr>
    <w:rPr>
      <w:rFonts w:eastAsia="Times New Roman" w:cs="Times New Roman"/>
      <w:szCs w:val="24"/>
    </w:rPr>
  </w:style>
  <w:style w:type="paragraph" w:customStyle="1" w:styleId="TitleSchedule">
    <w:name w:val="Title Schedule"/>
    <w:basedOn w:val="Title"/>
    <w:uiPriority w:val="20"/>
    <w:unhideWhenUsed/>
    <w:rsid w:val="00F07661"/>
    <w:pPr>
      <w:keepNext w:val="0"/>
      <w:spacing w:after="360"/>
      <w:outlineLvl w:val="0"/>
    </w:pPr>
    <w:rPr>
      <w:rFonts w:eastAsia="Times New Roman" w:cs="Times New Roman"/>
      <w:szCs w:val="24"/>
    </w:rPr>
  </w:style>
  <w:style w:type="paragraph" w:customStyle="1" w:styleId="TitleTOC">
    <w:name w:val="Title TOC"/>
    <w:basedOn w:val="Normal"/>
    <w:uiPriority w:val="20"/>
    <w:unhideWhenUsed/>
    <w:rsid w:val="00F07661"/>
    <w:pPr>
      <w:spacing w:after="360"/>
      <w:jc w:val="center"/>
    </w:pPr>
    <w:rPr>
      <w:rFonts w:eastAsia="Times New Roman"/>
      <w:b/>
      <w:szCs w:val="20"/>
    </w:rPr>
  </w:style>
  <w:style w:type="paragraph" w:customStyle="1" w:styleId="TitleTOCPage">
    <w:name w:val="Title TOC Page"/>
    <w:basedOn w:val="Normal"/>
    <w:uiPriority w:val="20"/>
    <w:unhideWhenUsed/>
    <w:rsid w:val="00F07661"/>
    <w:pPr>
      <w:spacing w:after="0"/>
      <w:jc w:val="right"/>
    </w:pPr>
    <w:rPr>
      <w:rFonts w:eastAsia="Times New Roman"/>
      <w:szCs w:val="20"/>
      <w:u w:val="single"/>
    </w:rPr>
  </w:style>
  <w:style w:type="paragraph" w:customStyle="1" w:styleId="TitleTOE">
    <w:name w:val="Title TOE"/>
    <w:basedOn w:val="TitleTOC"/>
    <w:uiPriority w:val="20"/>
    <w:unhideWhenUsed/>
    <w:rsid w:val="00F07661"/>
  </w:style>
  <w:style w:type="paragraph" w:customStyle="1" w:styleId="TitleTOEPage">
    <w:name w:val="Title TOE Page"/>
    <w:basedOn w:val="TitleTOCPage"/>
    <w:uiPriority w:val="20"/>
    <w:unhideWhenUsed/>
    <w:rsid w:val="00F07661"/>
  </w:style>
  <w:style w:type="paragraph" w:customStyle="1" w:styleId="TitleTOA">
    <w:name w:val="TitleTOA"/>
    <w:basedOn w:val="Title"/>
    <w:uiPriority w:val="20"/>
    <w:unhideWhenUsed/>
    <w:rsid w:val="00F07661"/>
    <w:pPr>
      <w:keepNext w:val="0"/>
    </w:pPr>
    <w:rPr>
      <w:rFonts w:eastAsia="Times New Roman" w:cs="Times New Roman"/>
      <w:caps/>
      <w:szCs w:val="24"/>
    </w:rPr>
  </w:style>
  <w:style w:type="paragraph" w:customStyle="1" w:styleId="TitleTOAPage">
    <w:name w:val="TitleTOAPage"/>
    <w:basedOn w:val="Title"/>
    <w:uiPriority w:val="20"/>
    <w:unhideWhenUsed/>
    <w:rsid w:val="00F07661"/>
    <w:pPr>
      <w:jc w:val="right"/>
      <w:outlineLvl w:val="0"/>
    </w:pPr>
    <w:rPr>
      <w:rFonts w:eastAsia="Times New Roman" w:cs="Times New Roman"/>
      <w:szCs w:val="24"/>
      <w:u w:val="single"/>
    </w:rPr>
  </w:style>
  <w:style w:type="paragraph" w:styleId="TOAHeading">
    <w:name w:val="toa heading"/>
    <w:basedOn w:val="Normal"/>
    <w:next w:val="Normal"/>
    <w:uiPriority w:val="99"/>
    <w:semiHidden/>
    <w:unhideWhenUsed/>
    <w:rsid w:val="00F07661"/>
    <w:pPr>
      <w:keepNext/>
      <w:spacing w:before="240"/>
    </w:pPr>
    <w:rPr>
      <w:rFonts w:eastAsiaTheme="majorEastAsia" w:cstheme="majorBidi"/>
      <w:b/>
      <w:bCs/>
    </w:rPr>
  </w:style>
  <w:style w:type="paragraph" w:styleId="TOC1">
    <w:name w:val="toc 1"/>
    <w:basedOn w:val="Normal"/>
    <w:next w:val="Normal"/>
    <w:uiPriority w:val="39"/>
    <w:unhideWhenUsed/>
    <w:rsid w:val="00F07661"/>
    <w:pPr>
      <w:ind w:left="720" w:right="1440" w:hanging="720"/>
      <w:jc w:val="left"/>
    </w:pPr>
  </w:style>
  <w:style w:type="paragraph" w:styleId="TOC2">
    <w:name w:val="toc 2"/>
    <w:basedOn w:val="Normal"/>
    <w:next w:val="Normal"/>
    <w:uiPriority w:val="39"/>
    <w:unhideWhenUsed/>
    <w:rsid w:val="00F07661"/>
    <w:pPr>
      <w:ind w:left="1440" w:right="1440" w:hanging="720"/>
      <w:jc w:val="left"/>
    </w:pPr>
  </w:style>
  <w:style w:type="paragraph" w:styleId="TOC3">
    <w:name w:val="toc 3"/>
    <w:basedOn w:val="Normal"/>
    <w:next w:val="Normal"/>
    <w:uiPriority w:val="39"/>
    <w:unhideWhenUsed/>
    <w:rsid w:val="00F07661"/>
    <w:pPr>
      <w:ind w:left="2160" w:right="1440" w:hanging="720"/>
      <w:jc w:val="left"/>
    </w:pPr>
  </w:style>
  <w:style w:type="paragraph" w:styleId="TOC4">
    <w:name w:val="toc 4"/>
    <w:basedOn w:val="Normal"/>
    <w:next w:val="Normal"/>
    <w:uiPriority w:val="39"/>
    <w:unhideWhenUsed/>
    <w:rsid w:val="00F07661"/>
    <w:pPr>
      <w:ind w:left="2880" w:right="1440" w:hanging="720"/>
      <w:jc w:val="left"/>
    </w:pPr>
  </w:style>
  <w:style w:type="paragraph" w:styleId="TOC5">
    <w:name w:val="toc 5"/>
    <w:basedOn w:val="Normal"/>
    <w:next w:val="Normal"/>
    <w:uiPriority w:val="39"/>
    <w:unhideWhenUsed/>
    <w:rsid w:val="00F07661"/>
    <w:pPr>
      <w:ind w:left="3600" w:right="1440" w:hanging="720"/>
      <w:jc w:val="left"/>
    </w:pPr>
  </w:style>
  <w:style w:type="paragraph" w:styleId="TOC6">
    <w:name w:val="toc 6"/>
    <w:basedOn w:val="Normal"/>
    <w:next w:val="Normal"/>
    <w:uiPriority w:val="39"/>
    <w:unhideWhenUsed/>
    <w:rsid w:val="00F07661"/>
    <w:pPr>
      <w:ind w:left="4320" w:right="1440" w:hanging="720"/>
      <w:jc w:val="left"/>
    </w:pPr>
  </w:style>
  <w:style w:type="paragraph" w:styleId="TOC7">
    <w:name w:val="toc 7"/>
    <w:basedOn w:val="Normal"/>
    <w:next w:val="Normal"/>
    <w:uiPriority w:val="39"/>
    <w:unhideWhenUsed/>
    <w:rsid w:val="00F07661"/>
    <w:pPr>
      <w:ind w:left="5040" w:right="1440" w:hanging="720"/>
      <w:jc w:val="left"/>
    </w:pPr>
  </w:style>
  <w:style w:type="paragraph" w:styleId="TOC8">
    <w:name w:val="toc 8"/>
    <w:basedOn w:val="Normal"/>
    <w:next w:val="Normal"/>
    <w:uiPriority w:val="39"/>
    <w:unhideWhenUsed/>
    <w:rsid w:val="00F07661"/>
    <w:pPr>
      <w:ind w:left="5760" w:right="1440" w:hanging="720"/>
      <w:jc w:val="left"/>
    </w:pPr>
  </w:style>
  <w:style w:type="paragraph" w:styleId="TOC9">
    <w:name w:val="toc 9"/>
    <w:basedOn w:val="Normal"/>
    <w:next w:val="Normal"/>
    <w:uiPriority w:val="39"/>
    <w:unhideWhenUsed/>
    <w:rsid w:val="00F07661"/>
    <w:pPr>
      <w:ind w:left="6480" w:right="1440" w:hanging="720"/>
      <w:jc w:val="left"/>
    </w:pPr>
  </w:style>
  <w:style w:type="paragraph" w:styleId="TOCHeading">
    <w:name w:val="TOC Heading"/>
    <w:basedOn w:val="Heading1"/>
    <w:next w:val="Normal"/>
    <w:uiPriority w:val="39"/>
    <w:semiHidden/>
    <w:unhideWhenUsed/>
    <w:qFormat/>
    <w:rsid w:val="00F07661"/>
    <w:pPr>
      <w:jc w:val="center"/>
      <w:outlineLvl w:val="9"/>
    </w:pPr>
    <w:rPr>
      <w:caps/>
    </w:rPr>
  </w:style>
  <w:style w:type="character" w:styleId="FootnoteReference">
    <w:name w:val="footnote reference"/>
    <w:basedOn w:val="DefaultParagraphFont"/>
    <w:uiPriority w:val="99"/>
    <w:semiHidden/>
    <w:unhideWhenUsed/>
    <w:rsid w:val="00063CB3"/>
    <w:rPr>
      <w:vertAlign w:val="superscript"/>
    </w:rPr>
  </w:style>
  <w:style w:type="paragraph" w:styleId="Revision">
    <w:name w:val="Revision"/>
    <w:hidden/>
    <w:uiPriority w:val="99"/>
    <w:semiHidden/>
    <w:rsid w:val="00846B62"/>
    <w:pPr>
      <w:spacing w:after="0" w:line="240" w:lineRule="auto"/>
    </w:pPr>
    <w:rPr>
      <w:rFonts w:ascii="Times New Roman" w:hAnsi="Times New Roman"/>
      <w:kern w:val="0"/>
      <w:sz w:val="24"/>
      <w:szCs w:val="24"/>
      <w14:ligatures w14:val="none"/>
    </w:rPr>
  </w:style>
  <w:style w:type="character" w:styleId="CommentReference">
    <w:name w:val="annotation reference"/>
    <w:basedOn w:val="DefaultParagraphFont"/>
    <w:uiPriority w:val="99"/>
    <w:semiHidden/>
    <w:unhideWhenUsed/>
    <w:rsid w:val="008D45EC"/>
    <w:rPr>
      <w:sz w:val="16"/>
      <w:szCs w:val="16"/>
    </w:rPr>
  </w:style>
  <w:style w:type="paragraph" w:styleId="CommentSubject">
    <w:name w:val="annotation subject"/>
    <w:basedOn w:val="CommentText"/>
    <w:next w:val="CommentText"/>
    <w:link w:val="CommentSubjectChar"/>
    <w:uiPriority w:val="99"/>
    <w:semiHidden/>
    <w:unhideWhenUsed/>
    <w:rsid w:val="008D45EC"/>
    <w:rPr>
      <w:b/>
      <w:bCs/>
    </w:rPr>
  </w:style>
  <w:style w:type="character" w:customStyle="1" w:styleId="CommentSubjectChar">
    <w:name w:val="Comment Subject Char"/>
    <w:basedOn w:val="CommentTextChar"/>
    <w:link w:val="CommentSubject"/>
    <w:uiPriority w:val="99"/>
    <w:semiHidden/>
    <w:rsid w:val="008D45EC"/>
    <w:rPr>
      <w:rFonts w:ascii="Times New Roman" w:eastAsia="Aptos" w:hAnsi="Times New Roman" w:cs="Times New Roman"/>
      <w:b/>
      <w:bCs/>
      <w:kern w:val="0"/>
      <w:sz w:val="20"/>
      <w:szCs w:val="20"/>
      <w14:ligatures w14:val="none"/>
    </w:rPr>
  </w:style>
  <w:style w:type="paragraph" w:customStyle="1" w:styleId="B">
    <w:name w:val="B]"/>
    <w:basedOn w:val="Normal"/>
    <w:qFormat/>
    <w:rsid w:val="008D45EC"/>
    <w:pPr>
      <w:spacing w:after="160" w:line="480" w:lineRule="auto"/>
      <w:ind w:firstLine="720"/>
    </w:pPr>
    <w:rPr>
      <w:rFonts w:eastAsia="Calibri"/>
    </w:rPr>
  </w:style>
  <w:style w:type="paragraph" w:customStyle="1" w:styleId="Blockquote">
    <w:name w:val="Block quote"/>
    <w:basedOn w:val="Normal"/>
    <w:qFormat/>
    <w:rsid w:val="007C6296"/>
    <w:pPr>
      <w:ind w:left="1080" w:right="720"/>
    </w:pPr>
    <w:rPr>
      <w:rFonts w:eastAsia="Calibri"/>
    </w:rPr>
  </w:style>
  <w:style w:type="paragraph" w:customStyle="1" w:styleId="Bod">
    <w:name w:val="B od"/>
    <w:basedOn w:val="Heading3"/>
    <w:qFormat/>
    <w:rsid w:val="00CA10A1"/>
  </w:style>
  <w:style w:type="character" w:styleId="Hyperlink">
    <w:name w:val="Hyperlink"/>
    <w:basedOn w:val="DefaultParagraphFont"/>
    <w:uiPriority w:val="99"/>
    <w:unhideWhenUsed/>
    <w:rsid w:val="00356E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microsoft.com/office/2006/relationships/keyMapCustomizations" Target="customizations.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BENESCH!28802714.5</documentid>
  <senderid>RZIMMERMAN</senderid>
  <senderemail>RZIMMERMAN@BENESCHLAW.COM</senderemail>
  <lastmodified>2026-06-11T16:32:00.0000000-04:00</lastmodified>
  <database>BENESCH</database>
</properties>
</file>

<file path=customXml/itemProps1.xml><?xml version="1.0" encoding="utf-8"?>
<ds:datastoreItem xmlns:ds="http://schemas.openxmlformats.org/officeDocument/2006/customXml" ds:itemID="{F7011C82-35D8-4858-8B88-2C498D954BE0}">
  <ds:schemaRefs>
    <ds:schemaRef ds:uri="http://schemas.openxmlformats.org/officeDocument/2006/bibliography"/>
  </ds:schemaRefs>
</ds:datastoreItem>
</file>

<file path=customXml/itemProps2.xml><?xml version="1.0" encoding="utf-8"?>
<ds:datastoreItem xmlns:ds="http://schemas.openxmlformats.org/officeDocument/2006/customXml" ds:itemID="{35F37016-72F0-4EE7-9BD3-D6A2DB8EA0E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7439</Words>
  <Characters>42407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2026-06-11T20:38:01Z</dcterms:created>
  <dcterms:modified xsi:type="dcterms:W3CDTF">2026-06-11T20:38:01Z</dcterms:modified>
</cp:coreProperties>
</file>